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
          <w:bCs/>
          <w:sz w:val="21"/>
          <w:szCs w:val="21"/>
        </w:rPr>
      </w:pPr>
      <w:r>
        <w:rPr>
          <w:rFonts w:cs="Arial" w:ascii="Verdana" w:hAnsi="Verdana"/>
          <w:b/>
          <w:bCs/>
          <w:sz w:val="21"/>
          <w:szCs w:val="21"/>
        </w:rPr>
      </w:r>
    </w:p>
    <w:p>
      <w:pPr>
        <w:pStyle w:val="Normal"/>
        <w:spacing w:lineRule="auto" w:line="276"/>
        <w:jc w:val="center"/>
        <w:rPr>
          <w:rFonts w:ascii="Verdana" w:hAnsi="Verdana"/>
          <w:sz w:val="21"/>
          <w:szCs w:val="21"/>
        </w:rPr>
      </w:pPr>
      <w:r>
        <w:rPr>
          <w:rFonts w:cs="Arial" w:ascii="Verdana" w:hAnsi="Verdana"/>
          <w:b/>
          <w:bCs/>
          <w:sz w:val="21"/>
          <w:szCs w:val="21"/>
        </w:rPr>
        <w:t>AVISO DE DISPENSA FÍSICA Nº 005/2024</w:t>
      </w:r>
    </w:p>
    <w:p>
      <w:pPr>
        <w:pStyle w:val="Normal"/>
        <w:spacing w:lineRule="auto" w:line="276" w:before="0" w:after="120"/>
        <w:jc w:val="center"/>
        <w:rPr>
          <w:rFonts w:ascii="Verdana" w:hAnsi="Verdana"/>
          <w:sz w:val="21"/>
          <w:szCs w:val="21"/>
        </w:rPr>
      </w:pPr>
      <w:r>
        <w:rPr>
          <w:rFonts w:cs="Arial" w:ascii="Verdana" w:hAnsi="Verdana"/>
          <w:b/>
          <w:bCs/>
          <w:sz w:val="21"/>
          <w:szCs w:val="21"/>
        </w:rPr>
        <w:t>(Processo Administrativo n.º 0088/2024 de 08/11/2024)</w:t>
      </w:r>
    </w:p>
    <w:p>
      <w:pPr>
        <w:pStyle w:val="Normal"/>
        <w:spacing w:lineRule="auto" w:line="276"/>
        <w:rPr>
          <w:rFonts w:ascii="Verdana" w:hAnsi="Verdana" w:cs="Arial"/>
          <w:sz w:val="21"/>
          <w:szCs w:val="21"/>
        </w:rPr>
      </w:pPr>
      <w:r>
        <w:rPr>
          <w:rFonts w:cs="Arial" w:ascii="Verdana" w:hAnsi="Verdana"/>
          <w:sz w:val="21"/>
          <w:szCs w:val="21"/>
        </w:rPr>
      </w:r>
    </w:p>
    <w:p>
      <w:pPr>
        <w:pStyle w:val="Normal"/>
        <w:snapToGrid w:val="false"/>
        <w:spacing w:lineRule="auto" w:line="276" w:before="0" w:after="120"/>
        <w:ind w:right="-30" w:firstLine="540"/>
        <w:jc w:val="both"/>
        <w:rPr>
          <w:rFonts w:ascii="Verdana" w:hAnsi="Verdana"/>
          <w:sz w:val="21"/>
          <w:szCs w:val="21"/>
        </w:rPr>
      </w:pPr>
      <w:r>
        <w:rPr>
          <w:rFonts w:cs="Arial" w:ascii="Verdana" w:hAnsi="Verdana"/>
          <w:sz w:val="21"/>
          <w:szCs w:val="21"/>
        </w:rPr>
        <w:t xml:space="preserve">Torna-se público que o Instituto de Previdência dos Servidores Públicos do Município de </w:t>
      </w:r>
      <w:r>
        <w:rPr>
          <w:rFonts w:eastAsia="Arial" w:cs="Arial" w:ascii="Verdana" w:hAnsi="Verdana"/>
          <w:sz w:val="21"/>
          <w:szCs w:val="21"/>
        </w:rPr>
        <w:t xml:space="preserve">São Gabriel da Palha-ES – SGP-Prev, </w:t>
      </w:r>
      <w:r>
        <w:rPr>
          <w:rFonts w:cs="Arial" w:ascii="Verdana" w:hAnsi="Verdana"/>
          <w:sz w:val="21"/>
          <w:szCs w:val="21"/>
        </w:rPr>
        <w:t xml:space="preserve">realizará Dispensa Física, </w:t>
      </w:r>
      <w:r>
        <w:rPr>
          <w:rFonts w:cs="Arial" w:ascii="Verdana" w:hAnsi="Verdana"/>
          <w:bCs/>
          <w:sz w:val="21"/>
          <w:szCs w:val="21"/>
        </w:rPr>
        <w:t xml:space="preserve">com critério de julgamento </w:t>
      </w:r>
      <w:r>
        <w:rPr>
          <w:rFonts w:cs="Arial" w:ascii="Verdana" w:hAnsi="Verdana"/>
          <w:b/>
          <w:bCs/>
          <w:i/>
          <w:sz w:val="21"/>
          <w:szCs w:val="21"/>
        </w:rPr>
        <w:t xml:space="preserve">menor preço global, </w:t>
      </w:r>
      <w:r>
        <w:rPr>
          <w:rFonts w:cs="Arial" w:ascii="Verdana" w:hAnsi="Verdana"/>
          <w:sz w:val="21"/>
          <w:szCs w:val="21"/>
        </w:rPr>
        <w:t>na hipótese do art. 75</w:t>
      </w:r>
      <w:r>
        <w:rPr>
          <w:rFonts w:cs="Arial" w:ascii="Verdana" w:hAnsi="Verdana"/>
          <w:i/>
          <w:iCs/>
          <w:sz w:val="21"/>
          <w:szCs w:val="21"/>
        </w:rPr>
        <w:t>, Inciso</w:t>
      </w:r>
      <w:r>
        <w:rPr>
          <w:rFonts w:cs="Arial" w:ascii="Verdana" w:hAnsi="Verdana"/>
          <w:b/>
          <w:i/>
          <w:iCs/>
          <w:sz w:val="21"/>
          <w:szCs w:val="21"/>
        </w:rPr>
        <w:t xml:space="preserve"> II</w:t>
      </w:r>
      <w:r>
        <w:rPr>
          <w:rFonts w:cs="Arial" w:ascii="Verdana" w:hAnsi="Verdana"/>
          <w:i/>
          <w:iCs/>
          <w:sz w:val="21"/>
          <w:szCs w:val="21"/>
        </w:rPr>
        <w:t>,</w:t>
      </w:r>
      <w:r>
        <w:rPr>
          <w:rFonts w:cs="Arial" w:ascii="Verdana" w:hAnsi="Verdana"/>
          <w:sz w:val="21"/>
          <w:szCs w:val="21"/>
        </w:rPr>
        <w:t xml:space="preserve"> </w:t>
      </w:r>
      <w:r>
        <w:rPr>
          <w:rFonts w:cs="Arial" w:ascii="Verdana" w:hAnsi="Verdana"/>
          <w:bCs/>
          <w:sz w:val="21"/>
          <w:szCs w:val="21"/>
        </w:rPr>
        <w:t>nos termos da Lei nº 14.133, de 1º de abril de 2021, e demais legislação aplicável</w:t>
      </w:r>
      <w:r>
        <w:rPr>
          <w:rFonts w:cs="Arial" w:ascii="Verdana" w:hAnsi="Verdana"/>
          <w:sz w:val="21"/>
          <w:szCs w:val="21"/>
        </w:rPr>
        <w:t>.</w:t>
      </w:r>
    </w:p>
    <w:p>
      <w:pPr>
        <w:pStyle w:val="Normal"/>
        <w:spacing w:lineRule="auto" w:line="276"/>
        <w:jc w:val="both"/>
        <w:rPr>
          <w:rFonts w:ascii="Verdana" w:hAnsi="Verdana" w:cs="Arial"/>
          <w:sz w:val="21"/>
          <w:szCs w:val="21"/>
        </w:rPr>
      </w:pPr>
      <w:r>
        <w:rPr>
          <w:rFonts w:cs="Arial" w:ascii="Verdana" w:hAnsi="Verdana"/>
          <w:sz w:val="21"/>
          <w:szCs w:val="21"/>
        </w:rPr>
      </w:r>
    </w:p>
    <w:p>
      <w:pPr>
        <w:pStyle w:val="Normal"/>
        <w:spacing w:lineRule="auto" w:line="276"/>
        <w:jc w:val="both"/>
        <w:rPr>
          <w:rFonts w:cs="Arial"/>
          <w:b/>
          <w:b/>
          <w:bCs/>
        </w:rPr>
      </w:pPr>
      <w:r>
        <w:rPr>
          <w:rFonts w:cs="Arial" w:ascii="Verdana" w:hAnsi="Verdana"/>
          <w:b/>
          <w:bCs/>
          <w:sz w:val="21"/>
          <w:szCs w:val="21"/>
        </w:rPr>
        <w:t>HORÁRIO DE ENVIO/ENTREGA DA PROPOSTA E DOCUMENTAÇÃO:</w:t>
      </w:r>
    </w:p>
    <w:p>
      <w:pPr>
        <w:pStyle w:val="Normal"/>
        <w:spacing w:lineRule="auto" w:line="276"/>
        <w:jc w:val="both"/>
        <w:rPr>
          <w:rFonts w:cs="Arial"/>
          <w:b/>
          <w:b/>
          <w:bCs/>
        </w:rPr>
      </w:pPr>
      <w:r>
        <w:rPr>
          <w:rFonts w:cs="Arial" w:ascii="Verdana" w:hAnsi="Verdana"/>
          <w:b/>
          <w:bCs/>
          <w:sz w:val="21"/>
          <w:szCs w:val="21"/>
        </w:rPr>
        <w:t>Limite para apresentação de propostas: Até as 13 horas do dia 02/12/2024.</w:t>
      </w:r>
    </w:p>
    <w:p>
      <w:pPr>
        <w:pStyle w:val="Normal"/>
        <w:spacing w:lineRule="auto" w:line="276"/>
        <w:jc w:val="both"/>
        <w:rPr/>
      </w:pPr>
      <w:r>
        <w:rPr>
          <w:rFonts w:cs="Arial" w:ascii="Verdana" w:hAnsi="Verdana"/>
          <w:b/>
          <w:bCs/>
          <w:sz w:val="21"/>
          <w:szCs w:val="21"/>
        </w:rPr>
        <w:t xml:space="preserve">E-mail para envio: </w:t>
      </w:r>
      <w:r>
        <w:rPr>
          <w:rStyle w:val="LinkdaInternet"/>
          <w:rFonts w:cs="Arial" w:ascii="Verdana" w:hAnsi="Verdana"/>
          <w:b/>
          <w:bCs/>
          <w:sz w:val="21"/>
          <w:szCs w:val="21"/>
        </w:rPr>
        <w:t>saogabrielprev@gmail.com</w:t>
      </w:r>
    </w:p>
    <w:p>
      <w:pPr>
        <w:pStyle w:val="Normal"/>
        <w:spacing w:lineRule="auto" w:line="276"/>
        <w:jc w:val="both"/>
        <w:rPr>
          <w:rFonts w:ascii="Verdana" w:hAnsi="Verdana"/>
          <w:sz w:val="21"/>
          <w:szCs w:val="21"/>
        </w:rPr>
      </w:pPr>
      <w:r>
        <w:rPr>
          <w:rFonts w:cs="Arial" w:ascii="Verdana" w:hAnsi="Verdana"/>
          <w:b/>
          <w:bCs/>
          <w:sz w:val="21"/>
          <w:szCs w:val="21"/>
        </w:rPr>
        <w:t xml:space="preserve">Endereço para entrega: </w:t>
      </w:r>
      <w:r>
        <w:rPr>
          <w:rFonts w:cs="Arial" w:ascii="Verdana" w:hAnsi="Verdana"/>
          <w:b w:val="false"/>
          <w:bCs w:val="false"/>
          <w:sz w:val="21"/>
          <w:szCs w:val="21"/>
        </w:rPr>
        <w:t xml:space="preserve">Rua Catarina Glazar, nº 166, bairro Glória, São Gabriel da Palha – ES, CEP 29780-000 </w:t>
      </w:r>
    </w:p>
    <w:p>
      <w:pPr>
        <w:pStyle w:val="Normal"/>
        <w:spacing w:lineRule="auto" w:line="276"/>
        <w:rPr>
          <w:rFonts w:ascii="Verdana" w:hAnsi="Verdana" w:cs="Arial"/>
          <w:sz w:val="21"/>
          <w:szCs w:val="21"/>
        </w:rPr>
      </w:pPr>
      <w:r>
        <w:rPr>
          <w:rFonts w:cs="Arial" w:ascii="Verdana" w:hAnsi="Verdana"/>
          <w:sz w:val="21"/>
          <w:szCs w:val="21"/>
        </w:rPr>
      </w:r>
    </w:p>
    <w:p>
      <w:pPr>
        <w:pStyle w:val="PADRO"/>
        <w:keepNext w:val="false"/>
        <w:widowControl/>
        <w:numPr>
          <w:ilvl w:val="0"/>
          <w:numId w:val="1"/>
        </w:numPr>
        <w:shd w:val="clear" w:color="auto" w:fill="auto"/>
        <w:spacing w:before="0" w:after="0"/>
        <w:rPr>
          <w:rFonts w:cs="Arial"/>
          <w:b/>
          <w:b/>
        </w:rPr>
      </w:pPr>
      <w:r>
        <w:rPr>
          <w:rFonts w:cs="Arial" w:ascii="Verdana" w:hAnsi="Verdana"/>
          <w:b/>
          <w:sz w:val="21"/>
          <w:szCs w:val="21"/>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left="0" w:hanging="0"/>
        <w:rPr>
          <w:rFonts w:ascii="Verdana" w:hAnsi="Verdana"/>
          <w:sz w:val="21"/>
          <w:szCs w:val="21"/>
        </w:rPr>
      </w:pPr>
      <w:r>
        <w:rPr>
          <w:rFonts w:cs="Arial" w:ascii="Verdana" w:hAnsi="Verdana"/>
          <w:sz w:val="21"/>
          <w:szCs w:val="21"/>
        </w:rPr>
        <w:t xml:space="preserve">O objeto da presente dispensa é a escolha da proposta mais vantajosa para </w:t>
      </w:r>
      <w:r>
        <w:rPr>
          <w:rFonts w:eastAsia="Times New Roman" w:cs="Times New Roman" w:ascii="Verdana" w:hAnsi="Verdana"/>
          <w:b w:val="false"/>
          <w:bCs w:val="false"/>
          <w:iCs/>
          <w:color w:val="000000"/>
          <w:sz w:val="21"/>
          <w:szCs w:val="21"/>
        </w:rPr>
        <w:t>Contratação de empresa especializada para a prestação de serviços de Assessoria e Consultoria de Investimentos no acompanhamento da Carteira de Investimentos, com o objetivo do cumprimento da Meta Atuarial e do Plano Anual de Investimentos – PAI, conforme exigência da Resolução CMN 4.963/2021 e atualizações, em atendimento às necessidades do Regime Próprio de Previdência Social dos servidores do Município de São Gabriel da Palha – ES, administrado pelo Instituto de Previdência do Município de São Gabriel da Palha – SGP-PREV</w:t>
      </w:r>
      <w:bookmarkStart w:id="0" w:name="_Hlk158282862"/>
      <w:r>
        <w:rPr>
          <w:rFonts w:ascii="Verdana" w:hAnsi="Verdana"/>
          <w:iCs/>
          <w:sz w:val="21"/>
          <w:szCs w:val="21"/>
        </w:rPr>
        <w:t xml:space="preserve">, </w:t>
      </w:r>
      <w:r>
        <w:rPr>
          <w:rFonts w:cs="Arial" w:ascii="Verdana" w:hAnsi="Verdana"/>
          <w:sz w:val="21"/>
          <w:szCs w:val="21"/>
        </w:rPr>
        <w:t>conforme condições, quantidades e exigências estabelecidas neste Aviso de Contratação Direta e seus anexos.</w:t>
      </w:r>
      <w:bookmarkEnd w:id="0"/>
    </w:p>
    <w:p>
      <w:pPr>
        <w:pStyle w:val="PADRO"/>
        <w:widowControl/>
        <w:shd w:val="clear" w:color="auto" w:fill="auto"/>
        <w:tabs>
          <w:tab w:val="clear" w:pos="708"/>
          <w:tab w:val="left" w:pos="284" w:leader="none"/>
          <w:tab w:val="left" w:pos="426" w:leader="none"/>
        </w:tabs>
        <w:spacing w:before="0" w:after="0"/>
        <w:ind w:left="0" w:hanging="0"/>
        <w:rPr>
          <w:rFonts w:ascii="Verdana" w:hAnsi="Verdana"/>
          <w:sz w:val="21"/>
          <w:szCs w:val="21"/>
        </w:rPr>
      </w:pPr>
      <w:r>
        <w:rPr>
          <w:rFonts w:ascii="Verdana" w:hAnsi="Verdana"/>
          <w:sz w:val="21"/>
          <w:szCs w:val="21"/>
        </w:rPr>
      </w:r>
    </w:p>
    <w:p>
      <w:pPr>
        <w:pStyle w:val="Normal"/>
        <w:tabs>
          <w:tab w:val="clear" w:pos="708"/>
          <w:tab w:val="left" w:pos="0" w:leader="none"/>
        </w:tabs>
        <w:suppressAutoHyphens w:val="false"/>
        <w:spacing w:lineRule="auto" w:line="276"/>
        <w:ind w:left="0" w:hanging="0"/>
        <w:jc w:val="both"/>
        <w:rPr>
          <w:rFonts w:ascii="Verdana" w:hAnsi="Verdana"/>
          <w:sz w:val="21"/>
          <w:szCs w:val="21"/>
        </w:rPr>
      </w:pPr>
      <w:r>
        <w:rPr>
          <w:rFonts w:ascii="Verdana" w:hAnsi="Verdana"/>
          <w:sz w:val="21"/>
          <w:szCs w:val="21"/>
        </w:rPr>
      </w:r>
    </w:p>
    <w:tbl>
      <w:tblPr>
        <w:tblStyle w:val="3"/>
        <w:tblW w:w="9990" w:type="dxa"/>
        <w:jc w:val="left"/>
        <w:tblInd w:w="-89" w:type="dxa"/>
        <w:tblLayout w:type="fixed"/>
        <w:tblCellMar>
          <w:top w:w="100" w:type="dxa"/>
          <w:left w:w="100" w:type="dxa"/>
          <w:bottom w:w="100" w:type="dxa"/>
          <w:right w:w="100" w:type="dxa"/>
        </w:tblCellMar>
      </w:tblPr>
      <w:tblGrid>
        <w:gridCol w:w="870"/>
        <w:gridCol w:w="4364"/>
        <w:gridCol w:w="1306"/>
        <w:gridCol w:w="1020"/>
        <w:gridCol w:w="1247"/>
        <w:gridCol w:w="1182"/>
      </w:tblGrid>
      <w:tr>
        <w:trPr>
          <w:trHeight w:val="840" w:hRule="atLeast"/>
        </w:trPr>
        <w:tc>
          <w:tcPr>
            <w:tcW w:w="870" w:type="dxa"/>
            <w:tcBorders>
              <w:top w:val="single" w:sz="8" w:space="0" w:color="000000"/>
              <w:left w:val="single" w:sz="8" w:space="0" w:color="000000"/>
              <w:bottom w:val="single" w:sz="8" w:space="0" w:color="000000"/>
              <w:right w:val="single" w:sz="8" w:space="0" w:color="000000"/>
            </w:tcBorders>
            <w:shd w:fill="auto" w:val="clear"/>
          </w:tcPr>
          <w:p>
            <w:pPr>
              <w:pStyle w:val="Normal"/>
              <w:widowControl w:val="false"/>
              <w:spacing w:lineRule="auto" w:line="276" w:before="0" w:after="0"/>
              <w:jc w:val="center"/>
              <w:rPr>
                <w:rFonts w:eastAsia="Times New Roman" w:cs="Times New Roman"/>
                <w:b/>
                <w:b/>
                <w:bCs/>
              </w:rPr>
            </w:pPr>
            <w:r>
              <w:rPr>
                <w:rFonts w:eastAsia="Times New Roman" w:cs="Times New Roman" w:ascii="Verdana" w:hAnsi="Verdana"/>
                <w:b/>
                <w:bCs/>
                <w:sz w:val="21"/>
                <w:szCs w:val="21"/>
              </w:rPr>
              <w:t>Item</w:t>
            </w:r>
          </w:p>
        </w:tc>
        <w:tc>
          <w:tcPr>
            <w:tcW w:w="4364" w:type="dxa"/>
            <w:tcBorders>
              <w:top w:val="single" w:sz="8" w:space="0" w:color="000000"/>
              <w:bottom w:val="single" w:sz="8" w:space="0" w:color="000000"/>
              <w:right w:val="single" w:sz="8" w:space="0" w:color="000000"/>
            </w:tcBorders>
            <w:shd w:fill="auto" w:val="clear"/>
          </w:tcPr>
          <w:p>
            <w:pPr>
              <w:pStyle w:val="Normal"/>
              <w:widowControl w:val="false"/>
              <w:spacing w:lineRule="auto" w:line="276" w:before="0" w:after="0"/>
              <w:jc w:val="center"/>
              <w:rPr>
                <w:rFonts w:ascii="Verdana" w:hAnsi="Verdana"/>
                <w:sz w:val="21"/>
                <w:szCs w:val="21"/>
              </w:rPr>
            </w:pPr>
            <w:r>
              <w:rPr>
                <w:rFonts w:eastAsia="Times New Roman" w:cs="Times New Roman" w:ascii="Verdana" w:hAnsi="Verdana"/>
                <w:b/>
                <w:sz w:val="21"/>
                <w:szCs w:val="21"/>
              </w:rPr>
              <w:t>DESCRIÇÃO/</w:t>
            </w:r>
            <w:r>
              <w:rPr>
                <w:rFonts w:eastAsia="Times New Roman" w:cs="Times New Roman" w:ascii="Verdana" w:hAnsi="Verdana"/>
                <w:b/>
                <w:sz w:val="21"/>
                <w:szCs w:val="21"/>
                <w:lang w:val="pt-BR"/>
              </w:rPr>
              <w:t xml:space="preserve"> </w:t>
            </w:r>
            <w:r>
              <w:rPr>
                <w:rFonts w:eastAsia="Times New Roman" w:cs="Times New Roman" w:ascii="Verdana" w:hAnsi="Verdana"/>
                <w:b/>
                <w:sz w:val="21"/>
                <w:szCs w:val="21"/>
              </w:rPr>
              <w:t>ESPECIFICAÇÃO</w:t>
            </w:r>
          </w:p>
        </w:tc>
        <w:tc>
          <w:tcPr>
            <w:tcW w:w="1306" w:type="dxa"/>
            <w:tcBorders>
              <w:top w:val="single" w:sz="8" w:space="0" w:color="000000"/>
              <w:bottom w:val="single" w:sz="8" w:space="0" w:color="000000"/>
              <w:right w:val="single" w:sz="8" w:space="0" w:color="000000"/>
            </w:tcBorders>
            <w:shd w:fill="auto" w:val="clear"/>
          </w:tcPr>
          <w:p>
            <w:pPr>
              <w:pStyle w:val="Normal"/>
              <w:widowControl w:val="false"/>
              <w:spacing w:lineRule="auto" w:line="276" w:before="0" w:after="0"/>
              <w:jc w:val="center"/>
              <w:rPr>
                <w:rFonts w:eastAsia="Times New Roman" w:cs="Times New Roman"/>
                <w:b/>
                <w:b/>
              </w:rPr>
            </w:pPr>
            <w:r>
              <w:rPr>
                <w:rFonts w:eastAsia="Times New Roman" w:cs="Times New Roman" w:ascii="Verdana" w:hAnsi="Verdana"/>
                <w:b/>
                <w:sz w:val="21"/>
                <w:szCs w:val="21"/>
              </w:rPr>
              <w:t>UNID DE MEDIDA</w:t>
            </w:r>
          </w:p>
        </w:tc>
        <w:tc>
          <w:tcPr>
            <w:tcW w:w="1020" w:type="dxa"/>
            <w:tcBorders>
              <w:top w:val="single" w:sz="8" w:space="0" w:color="000000"/>
              <w:left w:val="single" w:sz="8" w:space="0" w:color="000000"/>
              <w:bottom w:val="single" w:sz="8" w:space="0" w:color="000000"/>
            </w:tcBorders>
            <w:shd w:fill="auto" w:val="clear"/>
          </w:tcPr>
          <w:p>
            <w:pPr>
              <w:pStyle w:val="Normal"/>
              <w:widowControl w:val="false"/>
              <w:spacing w:lineRule="auto" w:line="276" w:before="0" w:after="160"/>
              <w:jc w:val="center"/>
              <w:rPr>
                <w:rFonts w:eastAsia="Times New Roman" w:cs="Times New Roman"/>
                <w:b/>
                <w:b/>
              </w:rPr>
            </w:pPr>
            <w:r>
              <w:rPr>
                <w:rFonts w:eastAsia="Times New Roman" w:cs="Times New Roman" w:ascii="Verdana" w:hAnsi="Verdana"/>
                <w:b/>
                <w:sz w:val="21"/>
                <w:szCs w:val="21"/>
              </w:rPr>
              <w:t>QUANT</w:t>
            </w:r>
          </w:p>
        </w:tc>
        <w:tc>
          <w:tcPr>
            <w:tcW w:w="1247" w:type="dxa"/>
            <w:tcBorders>
              <w:top w:val="single" w:sz="8" w:space="0" w:color="000000"/>
              <w:left w:val="single" w:sz="8" w:space="0" w:color="000000"/>
              <w:bottom w:val="single" w:sz="8" w:space="0" w:color="000000"/>
            </w:tcBorders>
            <w:shd w:fill="auto" w:val="clear"/>
          </w:tcPr>
          <w:p>
            <w:pPr>
              <w:pStyle w:val="Normal"/>
              <w:widowControl w:val="false"/>
              <w:spacing w:lineRule="auto" w:line="276" w:before="0" w:after="160"/>
              <w:jc w:val="center"/>
              <w:rPr>
                <w:rFonts w:eastAsia="Times New Roman" w:cs="Times New Roman"/>
                <w:b/>
                <w:b/>
              </w:rPr>
            </w:pPr>
            <w:r>
              <w:rPr>
                <w:rFonts w:eastAsia="Times New Roman" w:cs="Times New Roman" w:ascii="Verdana" w:hAnsi="Verdana"/>
                <w:b/>
                <w:sz w:val="21"/>
                <w:szCs w:val="21"/>
              </w:rPr>
              <w:t>R$ Unitário</w:t>
            </w:r>
          </w:p>
        </w:tc>
        <w:tc>
          <w:tcPr>
            <w:tcW w:w="1182" w:type="dxa"/>
            <w:tcBorders>
              <w:top w:val="single" w:sz="8" w:space="0" w:color="000000"/>
              <w:left w:val="single" w:sz="8" w:space="0" w:color="000000"/>
              <w:bottom w:val="single" w:sz="8" w:space="0" w:color="000000"/>
              <w:right w:val="single" w:sz="8" w:space="0" w:color="000000"/>
            </w:tcBorders>
            <w:shd w:fill="auto" w:val="clear"/>
          </w:tcPr>
          <w:p>
            <w:pPr>
              <w:pStyle w:val="Normal"/>
              <w:widowControl w:val="false"/>
              <w:spacing w:lineRule="auto" w:line="276" w:before="0" w:after="160"/>
              <w:jc w:val="center"/>
              <w:rPr>
                <w:rFonts w:eastAsia="Times New Roman" w:cs="Times New Roman"/>
                <w:b/>
                <w:b/>
              </w:rPr>
            </w:pPr>
            <w:r>
              <w:rPr>
                <w:rFonts w:eastAsia="Times New Roman" w:cs="Times New Roman" w:ascii="Verdana" w:hAnsi="Verdana"/>
                <w:b/>
                <w:sz w:val="21"/>
                <w:szCs w:val="21"/>
              </w:rPr>
              <w:t>R$ Total</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rPr>
            </w:pPr>
            <w:r>
              <w:rPr>
                <w:rFonts w:eastAsia="Times New Roman" w:cs="Times New Roman" w:ascii="Verdana" w:hAnsi="Verdana"/>
                <w:sz w:val="21"/>
                <w:szCs w:val="21"/>
              </w:rPr>
            </w:r>
          </w:p>
          <w:p>
            <w:pPr>
              <w:pStyle w:val="Normal"/>
              <w:widowControl w:val="false"/>
              <w:spacing w:lineRule="auto" w:line="276" w:before="240" w:after="60"/>
              <w:jc w:val="center"/>
              <w:rPr>
                <w:rFonts w:ascii="Verdana" w:hAnsi="Verdana" w:eastAsia="Times New Roman" w:cs="Times New Roman"/>
                <w:sz w:val="21"/>
                <w:szCs w:val="21"/>
              </w:rPr>
            </w:pPr>
            <w:r>
              <w:rPr>
                <w:rFonts w:eastAsia="Times New Roman" w:cs="Times New Roman" w:ascii="Verdana" w:hAnsi="Verdana"/>
                <w:sz w:val="21"/>
                <w:szCs w:val="21"/>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01</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ELABORAÇÃO DO PLANO ANUAL DE INVESTIMENTOS</w:t>
            </w:r>
          </w:p>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ascii="Verdana" w:hAnsi="Verdana"/>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Conforme exige a Resolução CMN 4.963/2021. Preenchimento via CADPREVWEB;</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lang w:val="pt-BR"/>
              </w:rPr>
            </w:pPr>
            <w:r>
              <w:rPr>
                <w:rFonts w:eastAsia="Times New Roman" w:cs="Times New Roman" w:ascii="Verdana" w:hAnsi="Verdana"/>
                <w:sz w:val="21"/>
                <w:szCs w:val="21"/>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lang w:val="pt-BR"/>
              </w:rPr>
            </w:pPr>
            <w:r>
              <w:rPr>
                <w:rFonts w:eastAsia="Times New Roman" w:cs="Times New Roman" w:ascii="Verdana" w:hAnsi="Verdana"/>
                <w:sz w:val="21"/>
                <w:szCs w:val="21"/>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1.932,09</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1.932,09</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rPr>
            </w:pPr>
            <w:r>
              <w:rPr>
                <w:rFonts w:eastAsia="Times New Roman" w:cs="Times New Roman" w:ascii="Verdana" w:hAnsi="Verdana"/>
                <w:sz w:val="21"/>
                <w:szCs w:val="21"/>
              </w:rPr>
            </w:r>
          </w:p>
          <w:p>
            <w:pPr>
              <w:pStyle w:val="Normal"/>
              <w:widowControl w:val="false"/>
              <w:spacing w:lineRule="auto" w:line="276" w:before="240" w:after="60"/>
              <w:jc w:val="center"/>
              <w:rPr>
                <w:rFonts w:ascii="Verdana" w:hAnsi="Verdana" w:eastAsia="Times New Roman" w:cs="Times New Roman"/>
                <w:sz w:val="21"/>
                <w:szCs w:val="21"/>
              </w:rPr>
            </w:pPr>
            <w:r>
              <w:rPr>
                <w:rFonts w:eastAsia="Times New Roman" w:cs="Times New Roman" w:ascii="Verdana" w:hAnsi="Verdana"/>
                <w:sz w:val="21"/>
                <w:szCs w:val="21"/>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02</w:t>
            </w:r>
          </w:p>
        </w:tc>
        <w:tc>
          <w:tcPr>
            <w:tcW w:w="4364" w:type="dxa"/>
            <w:tcBorders>
              <w:bottom w:val="single" w:sz="8" w:space="0" w:color="000000"/>
              <w:right w:val="single" w:sz="8" w:space="0" w:color="000000"/>
            </w:tcBorders>
            <w:shd w:fill="auto" w:val="clear"/>
          </w:tcPr>
          <w:p>
            <w:pPr>
              <w:pStyle w:val="Normal"/>
              <w:widowControl w:val="false"/>
              <w:spacing w:lineRule="auto" w:line="276" w:before="0" w:after="0"/>
              <w:jc w:val="left"/>
              <w:rPr>
                <w:b w:val="false"/>
                <w:b w:val="false"/>
                <w:bCs w:val="false"/>
              </w:rPr>
            </w:pPr>
            <w:r>
              <w:rPr>
                <w:rFonts w:ascii="Verdana" w:hAnsi="Verdana"/>
                <w:b w:val="false"/>
                <w:bCs w:val="false"/>
                <w:sz w:val="21"/>
                <w:szCs w:val="21"/>
              </w:rPr>
              <w:t>RELATÓRIO COMPLETO ANUAL</w:t>
            </w:r>
          </w:p>
          <w:p>
            <w:pPr>
              <w:pStyle w:val="Normal"/>
              <w:widowControl w:val="false"/>
              <w:spacing w:lineRule="auto" w:line="276" w:before="0" w:after="0"/>
              <w:jc w:val="left"/>
              <w:rPr>
                <w:rFonts w:ascii="Verdana" w:hAnsi="Verdana"/>
                <w:color w:val="000000"/>
                <w:sz w:val="21"/>
                <w:szCs w:val="21"/>
              </w:rPr>
            </w:pPr>
            <w:r>
              <w:rPr>
                <w:rFonts w:ascii="Verdana" w:hAnsi="Verdana"/>
                <w:color w:val="000000"/>
                <w:sz w:val="21"/>
                <w:szCs w:val="21"/>
              </w:rPr>
            </w:r>
          </w:p>
          <w:p>
            <w:pPr>
              <w:pStyle w:val="Normal"/>
              <w:widowControl w:val="false"/>
              <w:spacing w:lineRule="auto" w:line="276" w:before="0" w:after="135"/>
              <w:jc w:val="both"/>
              <w:rPr>
                <w:rFonts w:eastAsia="Times New Roman" w:cs="Arial"/>
                <w:b w:val="false"/>
                <w:b w:val="false"/>
                <w:bCs w:val="false"/>
                <w:i w:val="false"/>
                <w:i w:val="false"/>
                <w:iCs w:val="false"/>
                <w:color w:val="000000"/>
                <w:lang w:eastAsia="pt-BR"/>
              </w:rPr>
            </w:pPr>
            <w:r>
              <w:rPr>
                <w:rFonts w:eastAsia="Times New Roman" w:cs="Arial" w:ascii="Verdana" w:hAnsi="Verdana"/>
                <w:b w:val="false"/>
                <w:bCs w:val="false"/>
                <w:i w:val="false"/>
                <w:iCs w:val="false"/>
                <w:color w:val="000000"/>
                <w:sz w:val="21"/>
                <w:szCs w:val="21"/>
                <w:lang w:eastAsia="pt-BR"/>
              </w:rPr>
              <w:t>Conforme exigido pela Portaria 1.467/2022 e no Balanço Anual, da situação financeira da carteira de investimentos, analisando o cumprimento da Meta Atuarial e a manutenção do poder de compra dos recursos financeiros;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lang w:val="pt-BR"/>
              </w:rPr>
            </w:pPr>
            <w:r>
              <w:rPr>
                <w:rFonts w:eastAsia="Times New Roman" w:cs="Times New Roman" w:ascii="Verdana" w:hAnsi="Verdana"/>
                <w:sz w:val="21"/>
                <w:szCs w:val="21"/>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lang w:val="pt-BR"/>
              </w:rPr>
            </w:pPr>
            <w:r>
              <w:rPr>
                <w:rFonts w:eastAsia="Times New Roman" w:cs="Times New Roman" w:ascii="Verdana" w:hAnsi="Verdana"/>
                <w:sz w:val="21"/>
                <w:szCs w:val="21"/>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03</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ascii="Verdana" w:hAnsi="Verdana"/>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DEMONSTRATIVO ANALÍTICO DOS INVESTIMENTOS</w:t>
            </w:r>
          </w:p>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ascii="Verdana" w:hAnsi="Verdana"/>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Exigidos no Balanço Anual pela IN nº 68/2020 do TCE/ES, conforme exigência da portaria MTP 1.467/2022;</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rPr>
            </w:pPr>
            <w:r>
              <w:rPr>
                <w:rFonts w:eastAsia="Times New Roman" w:cs="Times New Roman" w:ascii="Verdana" w:hAnsi="Verdana"/>
                <w:sz w:val="21"/>
                <w:szCs w:val="21"/>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04</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NOTAS EXPLICATIVAS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Sobre os fundos de investimentos, exigidos no Balanço Anual pelo TCE-ES, sobre as Demonstrações Financeiras contendo, dentre outros: a avaliação da situação patrimonial e a avaliação e contabilização dos investimentos; os critérios utilizados para constituições de provisões, depreciações, amortizações e reavaliações, com indicação dos efeitos no patrimônio do RPPS;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rPr>
            </w:pPr>
            <w:r>
              <w:rPr>
                <w:rFonts w:eastAsia="Times New Roman" w:cs="Times New Roman" w:ascii="Verdana" w:hAnsi="Verdana"/>
                <w:sz w:val="21"/>
                <w:szCs w:val="21"/>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05</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RELATÓRIOS SEMESTRAIS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Dos Investimentos, conforme exigido pela Portaria 1.467/2022, detalhando a rentabilidade e os riscos das diversas modalidades de operações realizadas pelo RPPS com título, valores mobiliários e demais ativos alocados nos segmentos de renda fixa, renda variável e imóveis;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06</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RELATÓRIOS TRIMESTRAIS</w:t>
            </w:r>
          </w:p>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ascii="Verdana" w:hAnsi="Verdana"/>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Dos Investimentos conforme exigido pela Portaria 1.467/2022 e nos Balancetes de Março, Junho, Setembro e Dezembro, pela IN nº 68/2020 do TCE-ES, detalhando a rentabilidade e os riscos das diversas modalidades de operações realizadas pelo RPPS com título, valores mobiliários e demais ativos alocados nos segmentos de renda fixa, renda variável e imóveis;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1"/>
                <w:szCs w:val="21"/>
              </w:rPr>
            </w:pPr>
            <w:r>
              <w:rPr>
                <w:rFonts w:eastAsia="Times New Roman" w:cs="Times New Roman" w:ascii="Verdana" w:hAnsi="Verdana"/>
                <w:sz w:val="21"/>
                <w:szCs w:val="21"/>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07</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RELATÓRIOS MENSAIS</w:t>
            </w:r>
          </w:p>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ascii="Verdana" w:hAnsi="Verdana"/>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Dos Investimentos conforme exigido pela Portaria 1.467/2022 e pela IN nº 68/2020 do TCE-ES, analisando as aplicações da Carteira de Investimento do RPPS, sua rentabilidade, o enquadramento dos fundos e sugerindo novas aplicações, caso as pertencentes pelo Instituto não estejam atendendo a necessidade do cumprimento da Meta Atuarial;</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08</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AUXÍLIO NO PREENCHIMENTO DOS MODELOS DE CREDENCIAMENTO</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Auxílio no preenchimento dos Modelos de Credenciamento (Instituição Financeira, Fundos de Investimentos e Prestadores de Serviço) conforme exigido pela Portaria MTP 1.467/2022, disponibilizando as informações como registro de funcionamento emitido pelo Banco Central e pela CVM e qualquer ato impeditivo emitido por estes órgãos, além do histórico dos fundos e de seus responsáveis (Administrador, Gestor e Distribuidor);</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09</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PLANILHA DAIR/CADPREV E APR</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Envio de uma planilha, contendo todas as informações relevantes dos fundos de investimento como: valor da cota, patrimônio líquido, enquadramento perante a Resolução CMN vigente, segmento, taxa de performance, rating, no intuito de auxiliar o preenchimento do DAIR e as APR à cada aplicação e resgate feito pelo RPPS;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10</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PARECERES AVULSOS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Analisando novos fundos de investimentos a pedido do gestor do RPPS, limitados a dois pareceres e quando houver qualquer alteração na legislação vigente dos investimentos que envolvem os RPPS e mudanças no cenário macroeconômico;</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11</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DEMAIS ARQUIVOS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Solicitados pelo Tribunal de Contas Do Estado do Espírito Santo – TCEES, tais como:</w:t>
            </w:r>
          </w:p>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cs="Arial" w:ascii="Verdana" w:hAnsi="Verdana"/>
                <w:b/>
                <w:bCs w:val="false"/>
                <w:i w:val="false"/>
                <w:iCs w:val="false"/>
                <w:color w:val="000000"/>
                <w:sz w:val="21"/>
                <w:szCs w:val="21"/>
              </w:rPr>
              <w:t>RELPOL</w:t>
            </w:r>
            <w:r>
              <w:rPr>
                <w:rFonts w:cs="Arial" w:ascii="Verdana" w:hAnsi="Verdana"/>
                <w:b w:val="false"/>
                <w:bCs w:val="false"/>
                <w:i w:val="false"/>
                <w:iCs w:val="false"/>
                <w:color w:val="000000"/>
                <w:sz w:val="21"/>
                <w:szCs w:val="21"/>
              </w:rPr>
              <w:t xml:space="preserve"> – Relatório que definiu a política anual de investimentos, na forma do artigo 4º da Resolução CMN nº 4.963/2021, arquivo PDF;</w:t>
            </w:r>
          </w:p>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cs="Arial" w:ascii="Verdana" w:hAnsi="Verdana"/>
                <w:b/>
                <w:sz w:val="21"/>
                <w:szCs w:val="21"/>
              </w:rPr>
              <w:t>DEMPOL</w:t>
            </w:r>
            <w:r>
              <w:rPr>
                <w:rFonts w:cs="Arial" w:ascii="Verdana" w:hAnsi="Verdana"/>
                <w:sz w:val="21"/>
                <w:szCs w:val="21"/>
              </w:rPr>
              <w:t xml:space="preserve"> – Cópia do demonstrativo da política anual de investimentos encaminhada ao Ministério da Previdência, na forma da Resolução CMN nº 4.963/2021, arquivo PDF;</w:t>
            </w:r>
          </w:p>
          <w:p>
            <w:pPr>
              <w:pStyle w:val="PargrafodaLista"/>
              <w:widowControl w:val="false"/>
              <w:snapToGrid w:val="false"/>
              <w:spacing w:lineRule="auto" w:line="276" w:before="0" w:after="200"/>
              <w:ind w:left="0" w:right="0" w:hanging="0"/>
              <w:contextualSpacing/>
              <w:jc w:val="both"/>
              <w:rPr>
                <w:rFonts w:ascii="Verdana" w:hAnsi="Verdana"/>
                <w:sz w:val="21"/>
                <w:szCs w:val="21"/>
              </w:rPr>
            </w:pPr>
            <w:r>
              <w:rPr>
                <w:rFonts w:cs="Arial" w:ascii="Verdana" w:hAnsi="Verdana"/>
                <w:b/>
                <w:bCs w:val="false"/>
                <w:i w:val="false"/>
                <w:iCs w:val="false"/>
                <w:color w:val="000000"/>
                <w:sz w:val="21"/>
                <w:szCs w:val="21"/>
              </w:rPr>
              <w:t>RELRENT</w:t>
            </w:r>
            <w:r>
              <w:rPr>
                <w:rFonts w:cs="Arial" w:ascii="Verdana" w:hAnsi="Verdana"/>
                <w:b w:val="false"/>
                <w:bCs w:val="false"/>
                <w:i w:val="false"/>
                <w:iCs w:val="false"/>
                <w:color w:val="000000"/>
                <w:sz w:val="21"/>
                <w:szCs w:val="21"/>
              </w:rPr>
              <w:t xml:space="preserve"> – Relatório detalhado do último trimestre do exercício financeiro, sobre a rentabilidade, os riscos das diversas modalidades de operações realizadas nas aplicações dos recursos do RPPS e a aderência à política anual de investimentos e suas revisões, evidenciando a data de submissão do mesmo às instâncias superiores de deliberação e controle, arquivo PDF.</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12</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PALESTRA</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A ser realizada no final do ano sem ônus algum para o RPPS, voltada aos responsáveis do Instituto e comitê de investimentos, apresentando o comportamento das aplicações financeiras no ano vigente e o seu cumprimento da Meta Atuarial e PAI-Política de Investimento do SGP-PREV;</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1"/>
                <w:szCs w:val="21"/>
              </w:rPr>
              <w:t>13</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ESTUDO DE ALM</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1"/>
                <w:szCs w:val="21"/>
              </w:rPr>
            </w:pPr>
            <w:r>
              <w:rPr>
                <w:rFonts w:cs="Arial" w:ascii="Verdana" w:hAnsi="Verdana"/>
                <w:b w:val="false"/>
                <w:bCs w:val="false"/>
                <w:i w:val="false"/>
                <w:iCs w:val="false"/>
                <w:color w:val="000000"/>
                <w:sz w:val="21"/>
                <w:szCs w:val="21"/>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1"/>
                <w:szCs w:val="21"/>
              </w:rPr>
              <w:t>Elaboração de Estudo de Asset Liability Management (ALM) utilizando a macro alocação através da construção da Fronteira Eficiente de Markowitz e a modelagem de Cash Flow Matching, em consonância com a Resolução CMN nº 4963/2021 e as normas da Secretaria de Previdência do Ministério da Economia.</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1"/>
                <w:szCs w:val="21"/>
              </w:rPr>
            </w:pPr>
            <w:r>
              <w:rPr>
                <w:rFonts w:ascii="Verdana" w:hAnsi="Verdana"/>
                <w:sz w:val="21"/>
                <w:szCs w:val="21"/>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1"/>
                <w:szCs w:val="21"/>
                <w:lang w:val="pt-BR"/>
              </w:rPr>
              <w:t>1.932,10</w:t>
            </w:r>
          </w:p>
        </w:tc>
      </w:tr>
    </w:tbl>
    <w:p>
      <w:pPr>
        <w:pStyle w:val="Normal"/>
        <w:tabs>
          <w:tab w:val="clear" w:pos="708"/>
          <w:tab w:val="left" w:pos="0" w:leader="none"/>
        </w:tabs>
        <w:suppressAutoHyphens w:val="false"/>
        <w:spacing w:lineRule="auto" w:line="276"/>
        <w:ind w:left="0" w:hanging="0"/>
        <w:jc w:val="both"/>
        <w:rPr>
          <w:rFonts w:ascii="Verdana" w:hAnsi="Verdana"/>
          <w:sz w:val="21"/>
          <w:szCs w:val="21"/>
        </w:rPr>
      </w:pPr>
      <w:r>
        <w:rPr>
          <w:rFonts w:ascii="Verdana" w:hAnsi="Verdana"/>
          <w:sz w:val="21"/>
          <w:szCs w:val="21"/>
        </w:rPr>
      </w:r>
    </w:p>
    <w:p>
      <w:pPr>
        <w:pStyle w:val="PADRO"/>
        <w:keepNext w:val="false"/>
        <w:widowControl/>
        <w:numPr>
          <w:ilvl w:val="1"/>
          <w:numId w:val="1"/>
        </w:numPr>
        <w:shd w:val="clear" w:color="auto" w:fill="auto"/>
        <w:spacing w:before="120" w:after="120"/>
        <w:ind w:left="0" w:hanging="0"/>
        <w:rPr>
          <w:rFonts w:ascii="Verdana" w:hAnsi="Verdana"/>
          <w:sz w:val="21"/>
          <w:szCs w:val="21"/>
        </w:rPr>
      </w:pPr>
      <w:r>
        <w:rPr>
          <w:rFonts w:cs="Arial" w:ascii="Verdana" w:hAnsi="Verdana"/>
          <w:sz w:val="21"/>
          <w:szCs w:val="21"/>
        </w:rPr>
        <w:t>O critério de julgamento adotado será o</w:t>
      </w:r>
      <w:r>
        <w:rPr>
          <w:rFonts w:cs="Arial" w:ascii="Verdana" w:hAnsi="Verdana"/>
          <w:i/>
          <w:iCs/>
          <w:sz w:val="21"/>
          <w:szCs w:val="21"/>
        </w:rPr>
        <w:t xml:space="preserve"> </w:t>
      </w:r>
      <w:r>
        <w:rPr>
          <w:rFonts w:cs="Arial" w:ascii="Verdana" w:hAnsi="Verdana"/>
          <w:b/>
          <w:bCs/>
          <w:i/>
          <w:iCs/>
          <w:sz w:val="21"/>
          <w:szCs w:val="21"/>
        </w:rPr>
        <w:t>menor preço global,</w:t>
      </w:r>
      <w:r>
        <w:rPr>
          <w:rFonts w:cs="Arial" w:ascii="Verdana" w:hAnsi="Verdana"/>
          <w:sz w:val="21"/>
          <w:szCs w:val="21"/>
        </w:rPr>
        <w:t xml:space="preserve"> observadas as exigências contidas neste Aviso de Contratação Direta e seus Anexos quanto às especificações do objeto.</w:t>
      </w:r>
    </w:p>
    <w:p>
      <w:pPr>
        <w:pStyle w:val="PADRO"/>
        <w:keepNext w:val="false"/>
        <w:widowControl/>
        <w:shd w:val="clear" w:color="auto" w:fill="auto"/>
        <w:spacing w:before="0" w:after="0"/>
        <w:ind w:hanging="0"/>
        <w:contextualSpacing/>
        <w:rPr>
          <w:rFonts w:ascii="Verdana" w:hAnsi="Verdana" w:cs="Arial"/>
          <w:sz w:val="21"/>
          <w:szCs w:val="21"/>
        </w:rPr>
      </w:pPr>
      <w:r>
        <w:rPr>
          <w:rFonts w:cs="Arial" w:ascii="Verdana" w:hAnsi="Verdana"/>
          <w:sz w:val="21"/>
          <w:szCs w:val="21"/>
        </w:rPr>
      </w:r>
    </w:p>
    <w:p>
      <w:pPr>
        <w:pStyle w:val="PADRO"/>
        <w:keepNext w:val="false"/>
        <w:widowControl/>
        <w:numPr>
          <w:ilvl w:val="0"/>
          <w:numId w:val="1"/>
        </w:numPr>
        <w:shd w:val="clear" w:color="auto" w:fill="auto"/>
        <w:spacing w:before="0" w:after="0"/>
        <w:rPr>
          <w:rFonts w:cs="Arial"/>
          <w:b/>
          <w:b/>
        </w:rPr>
      </w:pPr>
      <w:r>
        <w:rPr>
          <w:rFonts w:cs="Arial" w:ascii="Verdana" w:hAnsi="Verdana"/>
          <w:b/>
          <w:sz w:val="21"/>
          <w:szCs w:val="21"/>
        </w:rPr>
        <w:t>PARTICIPAÇÃO NA DISPENSA DE LICITAÇÃO.</w:t>
      </w:r>
    </w:p>
    <w:p>
      <w:pPr>
        <w:pStyle w:val="Normal"/>
        <w:numPr>
          <w:ilvl w:val="1"/>
          <w:numId w:val="1"/>
        </w:numPr>
        <w:snapToGrid w:val="false"/>
        <w:spacing w:lineRule="auto" w:line="276" w:before="0" w:after="120"/>
        <w:ind w:left="0" w:hanging="0"/>
        <w:jc w:val="both"/>
        <w:rPr>
          <w:rFonts w:ascii="Verdana" w:hAnsi="Verdana"/>
          <w:sz w:val="21"/>
          <w:szCs w:val="21"/>
        </w:rPr>
      </w:pPr>
      <w:r>
        <w:rPr>
          <w:rFonts w:ascii="Verdana" w:hAnsi="Verdana"/>
          <w:sz w:val="21"/>
          <w:szCs w:val="21"/>
        </w:rPr>
        <w:t>Poderão participar do certame todos os interessados, pessoas jurídicas pertencentes ao ramo de atividade pertinente ao objeto da contratação, que preencherem as condições da habilitação, conforme cada caso, disposto neste Edital.</w:t>
      </w:r>
    </w:p>
    <w:p>
      <w:pPr>
        <w:pStyle w:val="Normal"/>
        <w:numPr>
          <w:ilvl w:val="1"/>
          <w:numId w:val="1"/>
        </w:numPr>
        <w:spacing w:lineRule="auto" w:line="276" w:before="120" w:after="120"/>
        <w:ind w:left="0" w:hanging="0"/>
        <w:jc w:val="both"/>
        <w:rPr>
          <w:rFonts w:eastAsia="Calibri" w:cs="ArialMT"/>
          <w:lang w:eastAsia="en-US"/>
        </w:rPr>
      </w:pPr>
      <w:r>
        <w:rPr>
          <w:rFonts w:eastAsia="Calibri" w:cs="ArialMT" w:ascii="Verdana" w:hAnsi="Verdana" w:eastAsiaTheme="minorHAnsi"/>
          <w:sz w:val="21"/>
          <w:szCs w:val="21"/>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left="567" w:firstLine="21"/>
        <w:jc w:val="both"/>
        <w:rPr>
          <w:rFonts w:cs="Arial"/>
        </w:rPr>
      </w:pPr>
      <w:r>
        <w:rPr>
          <w:rFonts w:cs="Arial" w:ascii="Verdana" w:hAnsi="Verdana"/>
          <w:sz w:val="21"/>
          <w:szCs w:val="21"/>
        </w:rPr>
        <w:t>que não atendam às condições deste Aviso de Contratação Direta e seu(s) anexo(s);</w:t>
      </w:r>
    </w:p>
    <w:p>
      <w:pPr>
        <w:pStyle w:val="Normal"/>
        <w:numPr>
          <w:ilvl w:val="2"/>
          <w:numId w:val="1"/>
        </w:numPr>
        <w:spacing w:lineRule="auto" w:line="276" w:before="120" w:after="120"/>
        <w:ind w:left="567" w:hanging="0"/>
        <w:jc w:val="both"/>
        <w:rPr>
          <w:rFonts w:cs="Arial"/>
        </w:rPr>
      </w:pPr>
      <w:r>
        <w:rPr>
          <w:rFonts w:cs="Arial" w:ascii="Verdana" w:hAnsi="Verdana"/>
          <w:sz w:val="21"/>
          <w:szCs w:val="21"/>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left="567" w:hanging="0"/>
        <w:jc w:val="both"/>
        <w:rPr>
          <w:rFonts w:cs="Arial"/>
        </w:rPr>
      </w:pPr>
      <w:r>
        <w:rPr>
          <w:rFonts w:cs="Arial" w:ascii="Verdana" w:hAnsi="Verdana"/>
          <w:sz w:val="21"/>
          <w:szCs w:val="21"/>
        </w:rPr>
        <w:t>organizações da Sociedade Civil de Interesse Público – OSCIP, atuando nessa condição (Acórdão nº 746/2014-TCU-Plenário); e</w:t>
      </w:r>
    </w:p>
    <w:p>
      <w:pPr>
        <w:pStyle w:val="Normal"/>
        <w:numPr>
          <w:ilvl w:val="2"/>
          <w:numId w:val="1"/>
        </w:numPr>
        <w:spacing w:lineRule="auto" w:line="276" w:before="120" w:after="120"/>
        <w:ind w:left="-70" w:firstLine="630"/>
        <w:jc w:val="both"/>
        <w:rPr>
          <w:rFonts w:cs="Arial"/>
        </w:rPr>
      </w:pPr>
      <w:r>
        <w:rPr>
          <w:rFonts w:cs="Arial" w:ascii="Verdana" w:hAnsi="Verdana"/>
          <w:sz w:val="21"/>
          <w:szCs w:val="21"/>
        </w:rPr>
        <w:t>que se enquadrem nas seguintes vedações:</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1"/>
          <w:szCs w:val="21"/>
        </w:rPr>
      </w:pPr>
      <w:r>
        <w:rPr>
          <w:rFonts w:ascii="Verdana" w:hAnsi="Verdana"/>
          <w:b/>
          <w:bCs/>
          <w:sz w:val="21"/>
          <w:szCs w:val="21"/>
        </w:rPr>
        <w:t xml:space="preserve">a) </w:t>
      </w:r>
      <w:r>
        <w:rPr>
          <w:rFonts w:cs="Arial" w:ascii="Verdana" w:hAnsi="Verdana"/>
          <w:sz w:val="21"/>
          <w:szCs w:val="21"/>
        </w:rPr>
        <w:t>autor do anteprojeto, do projeto básico ou do projeto executivo, pessoa física ou jurídica, quando a contratação versar sobre obra, serviços ou fornecimento de bens a ele relacionados;</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1"/>
          <w:szCs w:val="21"/>
        </w:rPr>
      </w:pPr>
      <w:r>
        <w:rPr>
          <w:rFonts w:cs="Arial" w:ascii="Verdana" w:hAnsi="Verdana"/>
          <w:b/>
          <w:bCs/>
          <w:sz w:val="21"/>
          <w:szCs w:val="21"/>
        </w:rPr>
        <w:t xml:space="preserve">b) </w:t>
      </w:r>
      <w:r>
        <w:rPr>
          <w:rFonts w:cs="Arial" w:ascii="Verdana" w:hAnsi="Verdana"/>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1"/>
          <w:szCs w:val="21"/>
        </w:rPr>
      </w:pPr>
      <w:r>
        <w:rPr>
          <w:rFonts w:cs="Arial" w:ascii="Verdana" w:hAnsi="Verdana"/>
          <w:b/>
          <w:bCs/>
          <w:sz w:val="21"/>
          <w:szCs w:val="21"/>
        </w:rPr>
        <w:t xml:space="preserve">c) </w:t>
      </w:r>
      <w:r>
        <w:rPr>
          <w:rFonts w:cs="Arial" w:ascii="Verdana" w:hAnsi="Verdana"/>
          <w:sz w:val="21"/>
          <w:szCs w:val="21"/>
        </w:rPr>
        <w:t>pessoa física ou jurídica que se encontre, ao tempo da contratação, impossibilitada de contratar em decorrência de sanção que lhe foi imposta;</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1"/>
          <w:szCs w:val="21"/>
        </w:rPr>
      </w:pPr>
      <w:r>
        <w:rPr>
          <w:rFonts w:cs="Arial" w:ascii="Verdana" w:hAnsi="Verdana"/>
          <w:b/>
          <w:bCs/>
          <w:sz w:val="21"/>
          <w:szCs w:val="21"/>
        </w:rPr>
        <w:t xml:space="preserve">d) </w:t>
      </w:r>
      <w:r>
        <w:rPr>
          <w:rFonts w:cs="Arial" w:ascii="Verdana" w:hAnsi="Verdana"/>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widowControl/>
        <w:numPr>
          <w:ilvl w:val="0"/>
          <w:numId w:val="0"/>
        </w:numPr>
        <w:suppressAutoHyphens w:val="true"/>
        <w:bidi w:val="0"/>
        <w:spacing w:lineRule="auto" w:line="276" w:before="120" w:after="120"/>
        <w:ind w:left="1304" w:right="0" w:hanging="0"/>
        <w:jc w:val="both"/>
        <w:rPr/>
      </w:pPr>
      <w:r>
        <w:rPr>
          <w:rFonts w:cs="Arial" w:ascii="Verdana" w:hAnsi="Verdana"/>
          <w:b/>
          <w:bCs/>
          <w:sz w:val="21"/>
          <w:szCs w:val="21"/>
        </w:rPr>
        <w:t xml:space="preserve">e) </w:t>
      </w:r>
      <w:r>
        <w:rPr>
          <w:rFonts w:cs="Arial" w:ascii="Verdana" w:hAnsi="Verdana"/>
          <w:sz w:val="21"/>
          <w:szCs w:val="21"/>
        </w:rPr>
        <w:t>empresas controladoras, controladas ou coligadas, nos termos da </w:t>
      </w:r>
      <w:hyperlink r:id="rId2">
        <w:r>
          <w:rPr>
            <w:rStyle w:val="LinkdaInternet"/>
            <w:rFonts w:eastAsia="Calibri" w:cs="Arial" w:ascii="Verdana" w:hAnsi="Verdana"/>
            <w:color w:val="auto"/>
            <w:sz w:val="21"/>
            <w:szCs w:val="21"/>
          </w:rPr>
          <w:t>Lei nº 6.404, de 15 de dezembro de 1976</w:t>
        </w:r>
      </w:hyperlink>
      <w:r>
        <w:rPr>
          <w:rFonts w:cs="Arial" w:ascii="Verdana" w:hAnsi="Verdana"/>
          <w:sz w:val="21"/>
          <w:szCs w:val="21"/>
        </w:rPr>
        <w:t>, concorrendo entre si;</w:t>
      </w:r>
    </w:p>
    <w:p>
      <w:pPr>
        <w:pStyle w:val="Normal"/>
        <w:widowControl/>
        <w:numPr>
          <w:ilvl w:val="0"/>
          <w:numId w:val="0"/>
        </w:numPr>
        <w:suppressAutoHyphens w:val="true"/>
        <w:bidi w:val="0"/>
        <w:spacing w:lineRule="auto" w:line="276" w:before="120" w:after="120"/>
        <w:ind w:left="1304" w:right="0" w:hanging="0"/>
        <w:jc w:val="both"/>
        <w:rPr>
          <w:rFonts w:ascii="Verdana" w:hAnsi="Verdana"/>
          <w:sz w:val="21"/>
          <w:szCs w:val="21"/>
        </w:rPr>
      </w:pPr>
      <w:r>
        <w:rPr>
          <w:rFonts w:cs="Arial" w:ascii="Verdana" w:hAnsi="Verdana"/>
          <w:b/>
          <w:bCs/>
          <w:sz w:val="21"/>
          <w:szCs w:val="21"/>
        </w:rPr>
        <w:t xml:space="preserve">f) </w:t>
      </w:r>
      <w:r>
        <w:rPr>
          <w:rFonts w:cs="Arial" w:ascii="Verdana" w:hAnsi="Verdana"/>
          <w:sz w:val="21"/>
          <w:szCs w:val="21"/>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Verdana" w:hAnsi="Verdana"/>
          <w:sz w:val="21"/>
          <w:szCs w:val="21"/>
        </w:rPr>
        <w:t xml:space="preserve"> </w:t>
      </w:r>
    </w:p>
    <w:p>
      <w:pPr>
        <w:pStyle w:val="Normal"/>
        <w:spacing w:lineRule="auto" w:line="276" w:before="120" w:after="120"/>
        <w:ind w:left="-70" w:firstLine="630"/>
        <w:jc w:val="both"/>
        <w:rPr>
          <w:rFonts w:ascii="Verdana" w:hAnsi="Verdana" w:cs="Arial"/>
          <w:sz w:val="21"/>
          <w:szCs w:val="21"/>
        </w:rPr>
      </w:pPr>
      <w:r>
        <w:rPr>
          <w:rFonts w:cs="Arial" w:ascii="Verdana" w:hAnsi="Verdana"/>
          <w:sz w:val="21"/>
          <w:szCs w:val="21"/>
        </w:rPr>
      </w:r>
    </w:p>
    <w:p>
      <w:pPr>
        <w:pStyle w:val="Normal"/>
        <w:numPr>
          <w:ilvl w:val="3"/>
          <w:numId w:val="1"/>
        </w:numPr>
        <w:spacing w:lineRule="auto" w:line="276" w:before="120" w:after="120"/>
        <w:ind w:left="-70" w:firstLine="630"/>
        <w:jc w:val="both"/>
        <w:rPr>
          <w:rFonts w:cs="Arial"/>
        </w:rPr>
      </w:pPr>
      <w:r>
        <w:rPr>
          <w:rFonts w:cs="Arial" w:ascii="Verdana" w:hAnsi="Verdana"/>
          <w:sz w:val="21"/>
          <w:szCs w:val="21"/>
        </w:rPr>
        <w:t>Equiparam-se aos autores do projeto as empresas integrantes do mesmo grupo econômico;</w:t>
      </w:r>
    </w:p>
    <w:p>
      <w:pPr>
        <w:pStyle w:val="Normal"/>
        <w:numPr>
          <w:ilvl w:val="3"/>
          <w:numId w:val="1"/>
        </w:numPr>
        <w:spacing w:lineRule="auto" w:line="276" w:before="120" w:after="120"/>
        <w:ind w:left="-70" w:firstLine="630"/>
        <w:jc w:val="both"/>
        <w:rPr>
          <w:rFonts w:cs="Arial"/>
        </w:rPr>
      </w:pPr>
      <w:r>
        <w:rPr>
          <w:rFonts w:cs="Arial" w:ascii="Verdana" w:hAnsi="Verdana"/>
          <w:sz w:val="21"/>
          <w:szCs w:val="21"/>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0"/>
          <w:numId w:val="0"/>
        </w:numPr>
        <w:spacing w:lineRule="auto" w:line="276" w:before="120" w:after="120"/>
        <w:ind w:left="0" w:hanging="0"/>
        <w:jc w:val="both"/>
        <w:rPr>
          <w:rFonts w:ascii="Verdana" w:hAnsi="Verdana"/>
          <w:sz w:val="21"/>
          <w:szCs w:val="21"/>
        </w:rPr>
      </w:pPr>
      <w:r>
        <w:rPr>
          <w:rFonts w:cs="Arial" w:ascii="Verdana" w:hAnsi="Verdana"/>
          <w:b/>
          <w:bCs/>
          <w:sz w:val="21"/>
          <w:szCs w:val="21"/>
        </w:rPr>
        <w:t xml:space="preserve">2.2.5 </w:t>
      </w:r>
      <w:r>
        <w:rPr>
          <w:rFonts w:ascii="Verdana" w:hAnsi="Verdana"/>
          <w:sz w:val="21"/>
          <w:szCs w:val="21"/>
        </w:rPr>
        <w:t>Organizações da Sociedade Civil de Interesse Público - OSCIP, atuando nessa condição (Acórdão nº 746/2014-TCU-Plenário); e</w:t>
      </w:r>
    </w:p>
    <w:p>
      <w:pPr>
        <w:pStyle w:val="Normal"/>
        <w:numPr>
          <w:ilvl w:val="0"/>
          <w:numId w:val="0"/>
        </w:numPr>
        <w:spacing w:lineRule="auto" w:line="276" w:before="120" w:after="120"/>
        <w:ind w:left="0" w:hanging="0"/>
        <w:jc w:val="both"/>
        <w:rPr>
          <w:rFonts w:ascii="Verdana" w:hAnsi="Verdana"/>
          <w:sz w:val="21"/>
          <w:szCs w:val="21"/>
        </w:rPr>
      </w:pPr>
      <w:r>
        <w:rPr>
          <w:rFonts w:cs="Arial" w:ascii="Verdana" w:hAnsi="Verdana"/>
          <w:b/>
          <w:bCs/>
          <w:sz w:val="21"/>
          <w:szCs w:val="21"/>
        </w:rPr>
        <w:t xml:space="preserve">2.3 </w:t>
      </w:r>
      <w:r>
        <w:rPr>
          <w:rFonts w:ascii="Verdana" w:hAnsi="Verdana"/>
          <w:sz w:val="21"/>
          <w:szCs w:val="21"/>
        </w:rPr>
        <w:t>Será permitida a participação de cooperativas, desde que apresentem demonstrativo de atuação em regime cooperado, com repartição de receitas e despesas entre os cooperados e atendam ao art. 16 da Lei nº 14.133/21.</w:t>
      </w:r>
    </w:p>
    <w:p>
      <w:pPr>
        <w:pStyle w:val="Normal"/>
        <w:numPr>
          <w:ilvl w:val="0"/>
          <w:numId w:val="0"/>
        </w:numPr>
        <w:spacing w:lineRule="auto" w:line="276" w:before="120" w:after="120"/>
        <w:ind w:left="0" w:hanging="0"/>
        <w:jc w:val="both"/>
        <w:rPr>
          <w:rFonts w:ascii="Verdana" w:hAnsi="Verdana"/>
          <w:sz w:val="21"/>
          <w:szCs w:val="21"/>
        </w:rPr>
      </w:pPr>
      <w:r>
        <w:rPr>
          <w:rFonts w:ascii="Verdana" w:hAnsi="Verdana"/>
          <w:b/>
          <w:bCs/>
          <w:sz w:val="21"/>
          <w:szCs w:val="21"/>
        </w:rPr>
        <w:t xml:space="preserve">2.3.1 </w:t>
      </w:r>
      <w:r>
        <w:rPr>
          <w:rFonts w:ascii="Verdana" w:hAnsi="Verdana"/>
          <w:sz w:val="21"/>
          <w:szCs w:val="21"/>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numPr>
          <w:ilvl w:val="0"/>
          <w:numId w:val="0"/>
        </w:numPr>
        <w:spacing w:lineRule="auto" w:line="276" w:before="120" w:after="0"/>
        <w:ind w:left="574" w:hanging="0"/>
        <w:jc w:val="both"/>
        <w:rPr>
          <w:rFonts w:ascii="Verdana" w:hAnsi="Verdana" w:cs="Arial"/>
          <w:b/>
          <w:b/>
          <w:bCs/>
          <w:sz w:val="21"/>
          <w:szCs w:val="21"/>
        </w:rPr>
      </w:pPr>
      <w:r>
        <w:rPr>
          <w:rFonts w:cs="Arial" w:ascii="Verdana" w:hAnsi="Verdana"/>
          <w:b/>
          <w:bCs/>
          <w:sz w:val="21"/>
          <w:szCs w:val="21"/>
        </w:rPr>
      </w:r>
    </w:p>
    <w:p>
      <w:pPr>
        <w:pStyle w:val="PADRO"/>
        <w:keepNext w:val="false"/>
        <w:widowControl/>
        <w:numPr>
          <w:ilvl w:val="0"/>
          <w:numId w:val="1"/>
        </w:numPr>
        <w:shd w:val="clear" w:color="auto" w:fill="auto"/>
        <w:spacing w:before="0" w:after="0"/>
        <w:rPr>
          <w:rFonts w:cs="Arial"/>
          <w:b/>
          <w:b/>
        </w:rPr>
      </w:pPr>
      <w:r>
        <w:rPr>
          <w:rFonts w:cs="Arial" w:ascii="Verdana" w:hAnsi="Verdana"/>
          <w:b/>
          <w:sz w:val="21"/>
          <w:szCs w:val="21"/>
        </w:rPr>
        <w:t>INGRESSO NA DISPENSA E ENVIO DA PROPOSTA E DOCUMENTAÇÃO</w:t>
      </w:r>
    </w:p>
    <w:p>
      <w:pPr>
        <w:pStyle w:val="PADRO"/>
        <w:widowControl/>
        <w:shd w:val="clear" w:color="auto" w:fill="auto"/>
        <w:spacing w:before="0" w:after="0"/>
        <w:rPr>
          <w:rFonts w:ascii="Verdana" w:hAnsi="Verdana" w:cs="Arial"/>
          <w:b/>
          <w:b/>
          <w:sz w:val="21"/>
          <w:szCs w:val="21"/>
        </w:rPr>
      </w:pPr>
      <w:r>
        <w:rPr>
          <w:rFonts w:cs="Arial" w:ascii="Verdana" w:hAnsi="Verdana"/>
          <w:b/>
          <w:sz w:val="21"/>
          <w:szCs w:val="21"/>
        </w:rPr>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sz w:val="21"/>
          <w:szCs w:val="21"/>
        </w:rPr>
      </w:pPr>
      <w:r>
        <w:rPr>
          <w:rFonts w:eastAsia="Batang" w:cs="Arial" w:ascii="Verdana" w:hAnsi="Verdana"/>
          <w:b w:val="false"/>
          <w:bCs w:val="false"/>
          <w:color w:val="000000"/>
          <w:sz w:val="21"/>
          <w:szCs w:val="21"/>
        </w:rPr>
        <w:t xml:space="preserve">As Propostas de Preços deverão ser apresentadas fisicamente, nos termos do Edital de Dispensa, na sede do Instituto de Previdência, localizada na Rua Catarina Glazar, 166, bairro Glória, São Gabriel da Palha – ES, CEP 29780-000, ou pelo seguinte e-mail: </w:t>
      </w:r>
      <w:r>
        <w:rPr>
          <w:rFonts w:eastAsia="Batang" w:cs="Arial" w:ascii="Verdana" w:hAnsi="Verdana"/>
          <w:b/>
          <w:bCs/>
          <w:color w:val="000000"/>
          <w:sz w:val="21"/>
          <w:szCs w:val="21"/>
        </w:rPr>
        <w:t>saogabrielprev@gmail.com</w:t>
      </w:r>
      <w:r>
        <w:rPr>
          <w:rFonts w:eastAsia="Batang" w:cs="Arial" w:ascii="Verdana" w:hAnsi="Verdana"/>
          <w:b w:val="false"/>
          <w:bCs w:val="false"/>
          <w:color w:val="000000"/>
          <w:sz w:val="21"/>
          <w:szCs w:val="21"/>
        </w:rPr>
        <w:t>;</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sz w:val="21"/>
          <w:szCs w:val="21"/>
        </w:rPr>
      </w:pPr>
      <w:r>
        <w:rPr>
          <w:rFonts w:ascii="Verdana" w:hAnsi="Verdana"/>
          <w:sz w:val="21"/>
          <w:szCs w:val="21"/>
        </w:rPr>
        <w:t>As licitantes concorrentes ao certame deverão apresentar, junto com as propostas, os documentos de Habilitação exigidos no ANEXO I deste edital.</w:t>
      </w:r>
    </w:p>
    <w:p>
      <w:pPr>
        <w:pStyle w:val="Normal"/>
        <w:numPr>
          <w:ilvl w:val="1"/>
          <w:numId w:val="1"/>
        </w:numPr>
        <w:tabs>
          <w:tab w:val="clear" w:pos="708"/>
          <w:tab w:val="left" w:pos="567" w:leader="none"/>
        </w:tabs>
        <w:snapToGrid w:val="false"/>
        <w:spacing w:lineRule="auto" w:line="276"/>
        <w:ind w:left="0" w:hanging="0"/>
        <w:jc w:val="both"/>
        <w:rPr>
          <w:rFonts w:ascii="Verdana" w:hAnsi="Verdana"/>
          <w:sz w:val="21"/>
          <w:szCs w:val="21"/>
        </w:rPr>
      </w:pPr>
      <w:r>
        <w:rPr>
          <w:rFonts w:ascii="Verdana" w:hAnsi="Verdana"/>
          <w:sz w:val="21"/>
          <w:szCs w:val="21"/>
        </w:rPr>
        <w:t>O encaminhamento de proposta pressupõe também pleno conhecimento e atendimento de todas as exigências contidas no edital e seus anexos.</w:t>
      </w:r>
    </w:p>
    <w:p>
      <w:pPr>
        <w:pStyle w:val="Normal"/>
        <w:tabs>
          <w:tab w:val="clear" w:pos="708"/>
          <w:tab w:val="left" w:pos="1582" w:leader="none"/>
        </w:tabs>
        <w:spacing w:lineRule="auto" w:line="276"/>
        <w:jc w:val="both"/>
        <w:rPr>
          <w:rFonts w:ascii="Verdana" w:hAnsi="Verdana" w:cs="Arial"/>
          <w:sz w:val="21"/>
          <w:szCs w:val="21"/>
        </w:rPr>
      </w:pPr>
      <w:r>
        <w:rPr>
          <w:rFonts w:cs="Arial" w:ascii="Verdana" w:hAnsi="Verdana"/>
          <w:sz w:val="21"/>
          <w:szCs w:val="21"/>
        </w:rPr>
      </w:r>
    </w:p>
    <w:p>
      <w:pPr>
        <w:pStyle w:val="PADRO"/>
        <w:keepNext w:val="false"/>
        <w:widowControl/>
        <w:numPr>
          <w:ilvl w:val="0"/>
          <w:numId w:val="1"/>
        </w:numPr>
        <w:shd w:val="clear" w:color="auto" w:fill="auto"/>
        <w:suppressAutoHyphens w:val="true"/>
        <w:bidi w:val="0"/>
        <w:spacing w:lineRule="auto" w:line="276" w:before="120" w:after="120"/>
        <w:ind w:left="0" w:right="0" w:hanging="0"/>
        <w:jc w:val="both"/>
        <w:textAlignment w:val="baseline"/>
        <w:rPr>
          <w:rFonts w:cs="Arial"/>
          <w:b/>
          <w:b/>
        </w:rPr>
      </w:pPr>
      <w:r>
        <w:rPr>
          <w:rFonts w:cs="Arial" w:ascii="Verdana" w:hAnsi="Verdana"/>
          <w:b/>
          <w:sz w:val="21"/>
          <w:szCs w:val="21"/>
        </w:rPr>
        <w:t>ABERTURA DAS PROPOSTAS E DOCUMENTAÇÃO</w:t>
      </w:r>
    </w:p>
    <w:p>
      <w:pPr>
        <w:pStyle w:val="PADRO"/>
        <w:widowControl/>
        <w:numPr>
          <w:ilvl w:val="0"/>
          <w:numId w:val="0"/>
        </w:numPr>
        <w:shd w:val="clear" w:color="auto" w:fill="auto"/>
        <w:suppressAutoHyphens w:val="true"/>
        <w:bidi w:val="0"/>
        <w:spacing w:lineRule="auto" w:line="276" w:before="120" w:after="120"/>
        <w:ind w:left="0" w:right="0" w:hanging="0"/>
        <w:jc w:val="both"/>
        <w:textAlignment w:val="baseline"/>
        <w:rPr>
          <w:rFonts w:ascii="Verdana" w:hAnsi="Verdana"/>
          <w:sz w:val="21"/>
          <w:szCs w:val="21"/>
        </w:rPr>
      </w:pPr>
      <w:r>
        <w:rPr>
          <w:rFonts w:cs="Arial" w:ascii="Verdana" w:hAnsi="Verdana"/>
          <w:b/>
          <w:sz w:val="21"/>
          <w:szCs w:val="21"/>
        </w:rPr>
        <w:t xml:space="preserve">4.1 </w:t>
      </w:r>
      <w:r>
        <w:rPr>
          <w:rFonts w:cs="Arial" w:ascii="Verdana" w:hAnsi="Verdana"/>
          <w:b w:val="false"/>
          <w:bCs w:val="false"/>
          <w:sz w:val="21"/>
          <w:szCs w:val="21"/>
        </w:rPr>
        <w:t>Encerrado o prazo para envio da proposta e documentação, o órgão ou entidade realizará a verificação da conformidade das propostas recebidas, quanto à adequação ao objeto e à compatibilidade do preço em relação ao estipulado para a contratação, conforme ordem de classificação crescente.</w:t>
        <w:br/>
      </w:r>
      <w:r>
        <w:rPr>
          <w:rFonts w:cs="Arial" w:ascii="Verdana" w:hAnsi="Verdana"/>
          <w:b/>
          <w:sz w:val="21"/>
          <w:szCs w:val="21"/>
        </w:rPr>
        <w:t xml:space="preserve">4.2. </w:t>
      </w:r>
      <w:r>
        <w:rPr>
          <w:rFonts w:cs="Arial" w:ascii="Verdana" w:hAnsi="Verdana"/>
          <w:b w:val="false"/>
          <w:bCs w:val="false"/>
          <w:sz w:val="21"/>
          <w:szCs w:val="21"/>
        </w:rPr>
        <w:t>Definido o resultado do julgamento, quando a proposta do primeiro colocado permanecer acima do orçamento estimado definido para a contratação, o agente de contratação ou comissão de contratação poderá negociar condições mais vantajosas.</w:t>
        <w:br/>
      </w:r>
      <w:r>
        <w:rPr>
          <w:rFonts w:cs="Arial" w:ascii="Verdana" w:hAnsi="Verdana"/>
          <w:b/>
          <w:sz w:val="21"/>
          <w:szCs w:val="21"/>
        </w:rPr>
        <w:t xml:space="preserve">4.3 </w:t>
      </w:r>
      <w:r>
        <w:rPr>
          <w:rFonts w:cs="Arial" w:ascii="Verdana" w:hAnsi="Verdana"/>
          <w:b w:val="false"/>
          <w:bCs w:val="false"/>
          <w:sz w:val="21"/>
          <w:szCs w:val="21"/>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PADRO"/>
        <w:widowControl/>
        <w:numPr>
          <w:ilvl w:val="0"/>
          <w:numId w:val="0"/>
        </w:numPr>
        <w:shd w:val="clear" w:color="auto" w:fill="auto"/>
        <w:spacing w:before="120" w:after="120"/>
        <w:ind w:left="0" w:hanging="0"/>
        <w:rPr>
          <w:rFonts w:ascii="Verdana" w:hAnsi="Verdana"/>
          <w:sz w:val="21"/>
          <w:szCs w:val="21"/>
        </w:rPr>
      </w:pPr>
      <w:r>
        <w:rPr>
          <w:rFonts w:cs="Arial" w:ascii="Verdana" w:hAnsi="Verdana"/>
          <w:b/>
          <w:bCs/>
          <w:sz w:val="21"/>
          <w:szCs w:val="21"/>
        </w:rPr>
        <w:t>4.4</w:t>
      </w:r>
      <w:r>
        <w:rPr>
          <w:rFonts w:cs="Arial" w:ascii="Verdana" w:hAnsi="Verdana"/>
          <w:b w:val="false"/>
          <w:bCs w:val="false"/>
          <w:sz w:val="21"/>
          <w:szCs w:val="21"/>
        </w:rPr>
        <w:t xml:space="preserve"> </w:t>
      </w:r>
      <w:r>
        <w:rPr>
          <w:rFonts w:cs="Arial" w:ascii="Verdana" w:hAnsi="Verdana"/>
          <w:sz w:val="21"/>
          <w:szCs w:val="21"/>
        </w:rPr>
        <w:t xml:space="preserve">O prazo de validade da proposta não será inferior a </w:t>
      </w:r>
      <w:r>
        <w:rPr>
          <w:rFonts w:cs="Arial" w:ascii="Verdana" w:hAnsi="Verdana"/>
          <w:b/>
          <w:bCs/>
          <w:sz w:val="21"/>
          <w:szCs w:val="21"/>
        </w:rPr>
        <w:t>60 (sessenta) dias,</w:t>
      </w:r>
      <w:r>
        <w:rPr>
          <w:rFonts w:cs="Arial" w:ascii="Verdana" w:hAnsi="Verdana"/>
          <w:sz w:val="21"/>
          <w:szCs w:val="21"/>
        </w:rPr>
        <w:t xml:space="preserve"> a contar da data de sua apresentação.</w:t>
      </w:r>
    </w:p>
    <w:p>
      <w:pPr>
        <w:pStyle w:val="ListParagraph"/>
        <w:numPr>
          <w:ilvl w:val="0"/>
          <w:numId w:val="0"/>
        </w:numPr>
        <w:tabs>
          <w:tab w:val="clear" w:pos="708"/>
          <w:tab w:val="left" w:pos="518" w:leader="none"/>
        </w:tabs>
        <w:spacing w:lineRule="auto" w:line="276" w:before="120" w:after="120"/>
        <w:ind w:left="0" w:hanging="0"/>
        <w:contextualSpacing/>
        <w:jc w:val="both"/>
        <w:rPr>
          <w:rFonts w:ascii="Verdana" w:hAnsi="Verdana"/>
          <w:sz w:val="21"/>
          <w:szCs w:val="21"/>
        </w:rPr>
      </w:pPr>
      <w:r>
        <w:rPr>
          <w:rFonts w:cs="Arial" w:ascii="Verdana" w:hAnsi="Verdana"/>
          <w:b/>
          <w:bCs/>
          <w:sz w:val="21"/>
          <w:szCs w:val="21"/>
          <w:lang w:eastAsia="en-US"/>
        </w:rPr>
        <w:t>4.5</w:t>
      </w:r>
      <w:r>
        <w:rPr>
          <w:rFonts w:cs="Arial" w:ascii="Verdana" w:hAnsi="Verdana"/>
          <w:sz w:val="21"/>
          <w:szCs w:val="21"/>
          <w:lang w:eastAsia="en-US"/>
        </w:rPr>
        <w:t xml:space="preserve"> Será desclassificada a proposta vencedora que: </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ascii="Verdana" w:hAnsi="Verdana"/>
          <w:b/>
          <w:bCs/>
          <w:i/>
          <w:iCs/>
          <w:sz w:val="21"/>
          <w:szCs w:val="21"/>
          <w:u w:val="single"/>
          <w:shd w:fill="auto" w:val="clear"/>
        </w:rPr>
        <w:t>4.5.1</w:t>
      </w:r>
      <w:r>
        <w:rPr>
          <w:rFonts w:ascii="Verdana" w:hAnsi="Verdana"/>
          <w:i/>
          <w:iCs/>
          <w:sz w:val="21"/>
          <w:szCs w:val="21"/>
          <w:u w:val="single"/>
          <w:shd w:fill="auto" w:val="clear"/>
        </w:rPr>
        <w:t xml:space="preserve"> Apresentar preços unitários ou globais acima dos valores estabelecidos como de referência máxima.</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cs="Arial" w:ascii="Verdana" w:hAnsi="Verdana"/>
          <w:b/>
          <w:bCs/>
          <w:sz w:val="21"/>
          <w:szCs w:val="21"/>
        </w:rPr>
        <w:t xml:space="preserve">4.5.2 </w:t>
      </w:r>
      <w:r>
        <w:rPr>
          <w:rFonts w:cs="Arial" w:ascii="Verdana" w:hAnsi="Verdana"/>
          <w:sz w:val="21"/>
          <w:szCs w:val="21"/>
        </w:rPr>
        <w:t>contiver vícios insanáveis</w:t>
      </w:r>
      <w:r>
        <w:rPr>
          <w:rFonts w:cs="Arial" w:ascii="Verdana" w:hAnsi="Verdana"/>
          <w:iCs/>
          <w:sz w:val="21"/>
          <w:szCs w:val="21"/>
        </w:rPr>
        <w:t>;</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cs="Arial" w:ascii="Verdana" w:hAnsi="Verdana"/>
          <w:b/>
          <w:bCs/>
          <w:sz w:val="21"/>
          <w:szCs w:val="21"/>
        </w:rPr>
        <w:t xml:space="preserve">4.5.3 </w:t>
      </w:r>
      <w:r>
        <w:rPr>
          <w:rFonts w:cs="Arial" w:ascii="Verdana" w:hAnsi="Verdana"/>
          <w:sz w:val="21"/>
          <w:szCs w:val="21"/>
        </w:rPr>
        <w:t>não obedecer às especificações técnicas pormenorizadas neste aviso ou em seus anexos</w:t>
      </w:r>
      <w:r>
        <w:rPr>
          <w:rFonts w:cs="Arial" w:ascii="Verdana" w:hAnsi="Verdana"/>
          <w:iCs/>
          <w:sz w:val="21"/>
          <w:szCs w:val="21"/>
        </w:rPr>
        <w:t>;</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cs="Arial" w:ascii="Verdana" w:hAnsi="Verdana"/>
          <w:b/>
          <w:bCs/>
          <w:sz w:val="21"/>
          <w:szCs w:val="21"/>
        </w:rPr>
        <w:t xml:space="preserve">4.5.4 </w:t>
      </w:r>
      <w:r>
        <w:rPr>
          <w:rFonts w:cs="Arial" w:ascii="Verdana" w:hAnsi="Verdana"/>
          <w:sz w:val="21"/>
          <w:szCs w:val="21"/>
        </w:rPr>
        <w:t>apresentar preços inexequíveis ou permanecerem acima do preço máximo definido para a contratação;</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cs="Arial" w:ascii="Verdana" w:hAnsi="Verdana"/>
          <w:b/>
          <w:bCs/>
          <w:sz w:val="21"/>
          <w:szCs w:val="21"/>
        </w:rPr>
        <w:t xml:space="preserve">4.5.5 </w:t>
      </w:r>
      <w:r>
        <w:rPr>
          <w:rFonts w:cs="Arial" w:ascii="Verdana" w:hAnsi="Verdana"/>
          <w:sz w:val="21"/>
          <w:szCs w:val="21"/>
        </w:rPr>
        <w:t>não tiverem sua exequibilidade demonstrada, quando exigido pela Administração</w:t>
      </w:r>
      <w:r>
        <w:rPr>
          <w:rFonts w:cs="Arial" w:ascii="Verdana" w:hAnsi="Verdana"/>
          <w:iCs/>
          <w:sz w:val="21"/>
          <w:szCs w:val="21"/>
        </w:rPr>
        <w:t>;</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cs="Arial" w:ascii="Verdana" w:hAnsi="Verdana"/>
          <w:b/>
          <w:bCs/>
          <w:sz w:val="21"/>
          <w:szCs w:val="21"/>
        </w:rPr>
        <w:t xml:space="preserve">4.5.6 </w:t>
      </w:r>
      <w:r>
        <w:rPr>
          <w:rFonts w:cs="Arial" w:ascii="Verdana" w:hAnsi="Verdana"/>
          <w:sz w:val="21"/>
          <w:szCs w:val="21"/>
        </w:rPr>
        <w:t>apresentar desconformidade com quaisquer outras exigências deste aviso ou seus anexos, desde que insanável.</w:t>
      </w:r>
    </w:p>
    <w:p>
      <w:pPr>
        <w:pStyle w:val="ListParagraph"/>
        <w:spacing w:lineRule="auto" w:line="276" w:before="120" w:after="120"/>
        <w:ind w:left="1224" w:hanging="0"/>
        <w:contextualSpacing/>
        <w:jc w:val="both"/>
        <w:rPr>
          <w:rFonts w:ascii="Verdana" w:hAnsi="Verdana" w:cs="Arial"/>
          <w:i/>
          <w:i/>
          <w:sz w:val="21"/>
          <w:szCs w:val="21"/>
        </w:rPr>
      </w:pPr>
      <w:r>
        <w:rPr>
          <w:rFonts w:cs="Arial" w:ascii="Verdana" w:hAnsi="Verdana"/>
          <w:i/>
          <w:sz w:val="21"/>
          <w:szCs w:val="21"/>
        </w:rPr>
      </w:r>
    </w:p>
    <w:p>
      <w:pPr>
        <w:pStyle w:val="ListParagraph"/>
        <w:numPr>
          <w:ilvl w:val="0"/>
          <w:numId w:val="0"/>
        </w:numPr>
        <w:tabs>
          <w:tab w:val="clear" w:pos="708"/>
          <w:tab w:val="left" w:pos="532" w:leader="none"/>
        </w:tabs>
        <w:spacing w:lineRule="auto" w:line="276" w:before="120" w:after="120"/>
        <w:ind w:left="0" w:hanging="0"/>
        <w:contextualSpacing/>
        <w:jc w:val="both"/>
        <w:rPr>
          <w:rFonts w:ascii="Verdana" w:hAnsi="Verdana"/>
          <w:sz w:val="21"/>
          <w:szCs w:val="21"/>
        </w:rPr>
      </w:pPr>
      <w:r>
        <w:rPr>
          <w:rFonts w:cs="Arial" w:ascii="Verdana" w:hAnsi="Verdana"/>
          <w:b/>
          <w:bCs/>
          <w:sz w:val="21"/>
          <w:szCs w:val="21"/>
          <w:lang w:eastAsia="en-US"/>
        </w:rPr>
        <w:t xml:space="preserve">4.6 </w:t>
      </w:r>
      <w:r>
        <w:rPr>
          <w:rFonts w:cs="Arial" w:ascii="Verdana" w:hAnsi="Verdana"/>
          <w:sz w:val="21"/>
          <w:szCs w:val="21"/>
          <w:lang w:eastAsia="en-US"/>
        </w:rPr>
        <w:t>Quando</w:t>
      </w:r>
      <w:r>
        <w:rPr>
          <w:rFonts w:cs="Arial" w:ascii="Verdana" w:hAnsi="Verdana"/>
          <w:sz w:val="21"/>
          <w:szCs w:val="21"/>
        </w:rPr>
        <w:t xml:space="preserve"> o fornecedor não conseguir comprovar que possui ou possuirá recursos suficientes para executar a contento o objeto, será considerada inexequível a proposta de preços ou menor lance que:</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cs="Arial" w:ascii="Verdana" w:hAnsi="Verdana"/>
          <w:b/>
          <w:bCs/>
          <w:sz w:val="21"/>
          <w:szCs w:val="21"/>
        </w:rPr>
        <w:t>4.6.1</w:t>
      </w:r>
      <w:r>
        <w:rPr>
          <w:rFonts w:cs="Arial" w:ascii="Verdana" w:hAnsi="Verdana"/>
          <w:sz w:val="21"/>
          <w:szCs w:val="21"/>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ascii="Verdana" w:hAnsi="Verdana"/>
          <w:b/>
          <w:bCs/>
          <w:sz w:val="21"/>
          <w:szCs w:val="21"/>
        </w:rPr>
        <w:t xml:space="preserve">4.6.2 </w:t>
      </w:r>
      <w:r>
        <w:rPr>
          <w:rFonts w:ascii="Verdana" w:hAnsi="Verdana"/>
          <w:sz w:val="21"/>
          <w:szCs w:val="21"/>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224" w:hanging="0"/>
        <w:contextualSpacing/>
        <w:jc w:val="both"/>
        <w:rPr>
          <w:rFonts w:ascii="Verdana" w:hAnsi="Verdana" w:cs="Arial"/>
          <w:i/>
          <w:i/>
          <w:sz w:val="21"/>
          <w:szCs w:val="21"/>
        </w:rPr>
      </w:pPr>
      <w:r>
        <w:rPr>
          <w:rFonts w:cs="Arial" w:ascii="Verdana" w:hAnsi="Verdana"/>
          <w:i/>
          <w:sz w:val="21"/>
          <w:szCs w:val="21"/>
        </w:rPr>
      </w:r>
    </w:p>
    <w:p>
      <w:pPr>
        <w:pStyle w:val="ListParagraph"/>
        <w:widowControl/>
        <w:numPr>
          <w:ilvl w:val="0"/>
          <w:numId w:val="0"/>
        </w:numPr>
        <w:tabs>
          <w:tab w:val="clear" w:pos="708"/>
          <w:tab w:val="left" w:pos="560" w:leader="none"/>
        </w:tabs>
        <w:suppressAutoHyphens w:val="true"/>
        <w:bidi w:val="0"/>
        <w:spacing w:lineRule="auto" w:line="276" w:before="120" w:after="120"/>
        <w:ind w:left="0" w:right="0" w:hanging="0"/>
        <w:contextualSpacing/>
        <w:jc w:val="both"/>
        <w:rPr>
          <w:rFonts w:ascii="Verdana" w:hAnsi="Verdana"/>
          <w:sz w:val="21"/>
          <w:szCs w:val="21"/>
        </w:rPr>
      </w:pPr>
      <w:r>
        <w:rPr>
          <w:rFonts w:cs="Arial" w:ascii="Verdana" w:hAnsi="Verdana"/>
          <w:b/>
          <w:bCs/>
          <w:sz w:val="21"/>
          <w:szCs w:val="21"/>
          <w:lang w:eastAsia="en-US"/>
        </w:rPr>
        <w:t>4.7</w:t>
      </w:r>
      <w:r>
        <w:rPr>
          <w:rFonts w:cs="Arial" w:ascii="Verdana" w:hAnsi="Verdana"/>
          <w:sz w:val="21"/>
          <w:szCs w:val="21"/>
          <w:lang w:eastAsia="en-US"/>
        </w:rPr>
        <w:t xml:space="preserve"> Se houver indícios de inexequibilidade da proposta de preço, ou em caso da necessidade de esclarecimentos </w:t>
      </w:r>
      <w:r>
        <w:rPr>
          <w:rFonts w:cs="Arial" w:ascii="Verdana" w:hAnsi="Verdana"/>
          <w:sz w:val="21"/>
          <w:szCs w:val="21"/>
        </w:rPr>
        <w:t>complementares</w:t>
      </w:r>
      <w:r>
        <w:rPr>
          <w:rFonts w:cs="Arial" w:ascii="Verdana" w:hAnsi="Verdana"/>
          <w:sz w:val="21"/>
          <w:szCs w:val="21"/>
          <w:lang w:eastAsia="en-US"/>
        </w:rPr>
        <w:t>, poderão ser efetuadas diligências, para que a empresa comprove a exequibilidade da proposta.</w:t>
      </w:r>
    </w:p>
    <w:p>
      <w:pPr>
        <w:pStyle w:val="ListParagraph"/>
        <w:widowControl/>
        <w:numPr>
          <w:ilvl w:val="0"/>
          <w:numId w:val="0"/>
        </w:numPr>
        <w:tabs>
          <w:tab w:val="clear" w:pos="708"/>
          <w:tab w:val="left" w:pos="560" w:leader="none"/>
        </w:tabs>
        <w:suppressAutoHyphens w:val="true"/>
        <w:bidi w:val="0"/>
        <w:spacing w:lineRule="auto" w:line="276" w:before="120" w:after="120"/>
        <w:ind w:left="0" w:right="0" w:hanging="0"/>
        <w:contextualSpacing/>
        <w:jc w:val="both"/>
        <w:rPr>
          <w:rFonts w:ascii="Verdana" w:hAnsi="Verdana"/>
          <w:sz w:val="21"/>
          <w:szCs w:val="21"/>
        </w:rPr>
      </w:pPr>
      <w:r>
        <w:rPr>
          <w:rFonts w:cs="Arial" w:ascii="Verdana" w:hAnsi="Verdana"/>
          <w:b/>
          <w:bCs/>
          <w:sz w:val="21"/>
          <w:szCs w:val="21"/>
          <w:lang w:eastAsia="en-US"/>
        </w:rPr>
        <w:t>4.8</w:t>
      </w:r>
      <w:r>
        <w:rPr>
          <w:rFonts w:cs="Arial" w:ascii="Verdana" w:hAnsi="Verdana"/>
          <w:sz w:val="21"/>
          <w:szCs w:val="21"/>
          <w:lang w:eastAsia="en-US"/>
        </w:rPr>
        <w:t xml:space="preserve"> Erros no preenchimento da planilha não constituem motivo para a desclassificação da proposta. A planilha </w:t>
      </w:r>
      <w:r>
        <w:rPr>
          <w:rFonts w:cs="Arial" w:ascii="Verdana" w:hAnsi="Verdana"/>
          <w:sz w:val="21"/>
          <w:szCs w:val="21"/>
        </w:rPr>
        <w:t>poderá́</w:t>
      </w:r>
      <w:r>
        <w:rPr>
          <w:rFonts w:cs="Arial" w:ascii="Verdana" w:hAnsi="Verdana"/>
          <w:sz w:val="21"/>
          <w:szCs w:val="21"/>
          <w:lang w:eastAsia="en-US"/>
        </w:rPr>
        <w:t xml:space="preserve"> ser ajustada pelo fornecedor, no prazo indicado pelo sistema, desde que não haja majoração do preço.</w:t>
      </w:r>
    </w:p>
    <w:p>
      <w:pPr>
        <w:pStyle w:val="ListParagraph"/>
        <w:widowControl/>
        <w:numPr>
          <w:ilvl w:val="0"/>
          <w:numId w:val="0"/>
        </w:numPr>
        <w:suppressAutoHyphens w:val="true"/>
        <w:bidi w:val="0"/>
        <w:spacing w:lineRule="auto" w:line="276" w:before="120" w:after="120"/>
        <w:ind w:left="737" w:right="0" w:hanging="0"/>
        <w:contextualSpacing/>
        <w:jc w:val="both"/>
        <w:rPr>
          <w:rFonts w:ascii="Verdana" w:hAnsi="Verdana"/>
          <w:sz w:val="21"/>
          <w:szCs w:val="21"/>
        </w:rPr>
      </w:pPr>
      <w:r>
        <w:rPr>
          <w:rFonts w:cs="Arial" w:ascii="Verdana" w:hAnsi="Verdana"/>
          <w:b/>
          <w:bCs/>
          <w:sz w:val="21"/>
          <w:szCs w:val="21"/>
          <w:lang w:eastAsia="en-US"/>
        </w:rPr>
        <w:t xml:space="preserve">4.8.1 </w:t>
      </w:r>
      <w:r>
        <w:rPr>
          <w:rFonts w:cs="Arial" w:ascii="Verdana" w:hAnsi="Verdana"/>
          <w:sz w:val="21"/>
          <w:szCs w:val="21"/>
          <w:lang w:eastAsia="en-US"/>
        </w:rPr>
        <w:t>O ajuste de que trata este dispositivo se limita a sanar erros ou falhas que não alterem a substância das propostas;</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1"/>
          <w:szCs w:val="21"/>
        </w:rPr>
      </w:pPr>
      <w:r>
        <w:rPr>
          <w:rFonts w:cs="Arial" w:ascii="Verdana" w:hAnsi="Verdana"/>
          <w:b/>
          <w:bCs/>
          <w:sz w:val="21"/>
          <w:szCs w:val="21"/>
          <w:lang w:eastAsia="en-US"/>
        </w:rPr>
        <w:t>4.9</w:t>
      </w:r>
      <w:r>
        <w:rPr>
          <w:rFonts w:cs="Arial" w:ascii="Verdana" w:hAnsi="Verdana"/>
          <w:sz w:val="21"/>
          <w:szCs w:val="21"/>
          <w:lang w:eastAsia="en-US"/>
        </w:rPr>
        <w:t xml:space="preserve"> Para fins de análise da proposta quanto ao cumprimento das especificações do objeto, poderá ser colhida a manifestação escrita do setor requisitante do serviço ou da área especializada no objeto.</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1"/>
          <w:szCs w:val="21"/>
        </w:rPr>
      </w:pPr>
      <w:r>
        <w:rPr>
          <w:rFonts w:cs="Arial" w:ascii="Verdana" w:hAnsi="Verdana"/>
          <w:b/>
          <w:bCs/>
          <w:sz w:val="21"/>
          <w:szCs w:val="21"/>
          <w:lang w:eastAsia="en-US"/>
        </w:rPr>
        <w:t xml:space="preserve">4.10 </w:t>
      </w:r>
      <w:r>
        <w:rPr>
          <w:rFonts w:cs="Arial" w:ascii="Verdana" w:hAnsi="Verdana"/>
          <w:sz w:val="21"/>
          <w:szCs w:val="21"/>
          <w:lang w:eastAsia="en-US"/>
        </w:rPr>
        <w:t>Se a proposta ou lance vencedor for desclassificado, será examinada a proposta ou lance subsequente, e, assim sucessivamente, na ordem de classificação.</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1"/>
          <w:szCs w:val="21"/>
        </w:rPr>
      </w:pPr>
      <w:r>
        <w:rPr>
          <w:rFonts w:cs="Arial" w:ascii="Verdana" w:hAnsi="Verdana"/>
          <w:b/>
          <w:bCs/>
          <w:sz w:val="21"/>
          <w:szCs w:val="21"/>
          <w:lang w:eastAsia="en-US"/>
        </w:rPr>
        <w:t xml:space="preserve">4.11 </w:t>
      </w:r>
      <w:r>
        <w:rPr>
          <w:rFonts w:cs="Arial" w:ascii="Verdana" w:hAnsi="Verdana"/>
          <w:sz w:val="21"/>
          <w:szCs w:val="21"/>
          <w:lang w:eastAsia="en-US"/>
        </w:rPr>
        <w:t>Havendo necessidade, a sessão será suspensa, informando-se no “chat” a nova data e horário para a sua continuidade.</w:t>
      </w:r>
    </w:p>
    <w:p>
      <w:pPr>
        <w:pStyle w:val="ListParagraph"/>
        <w:numPr>
          <w:ilvl w:val="0"/>
          <w:numId w:val="0"/>
        </w:numPr>
        <w:tabs>
          <w:tab w:val="clear" w:pos="708"/>
          <w:tab w:val="left" w:pos="546" w:leader="none"/>
        </w:tabs>
        <w:spacing w:lineRule="auto" w:line="276" w:before="120" w:after="120"/>
        <w:ind w:left="0" w:hanging="0"/>
        <w:contextualSpacing/>
        <w:jc w:val="both"/>
        <w:rPr>
          <w:rFonts w:ascii="Verdana" w:hAnsi="Verdana"/>
          <w:sz w:val="21"/>
          <w:szCs w:val="21"/>
        </w:rPr>
      </w:pPr>
      <w:r>
        <w:rPr>
          <w:rFonts w:cs="Arial" w:ascii="Verdana" w:hAnsi="Verdana"/>
          <w:b/>
          <w:bCs/>
          <w:sz w:val="21"/>
          <w:szCs w:val="21"/>
          <w:lang w:eastAsia="en-US"/>
        </w:rPr>
        <w:t xml:space="preserve">4.12 </w:t>
      </w:r>
      <w:r>
        <w:rPr>
          <w:rFonts w:cs="Arial" w:ascii="Verdana" w:hAnsi="Verdana"/>
          <w:sz w:val="21"/>
          <w:szCs w:val="21"/>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left="0" w:hanging="0"/>
        <w:contextualSpacing/>
        <w:jc w:val="both"/>
        <w:rPr>
          <w:rFonts w:ascii="Verdana" w:hAnsi="Verdana" w:cs="Arial"/>
          <w:sz w:val="21"/>
          <w:szCs w:val="21"/>
          <w:lang w:eastAsia="en-US"/>
        </w:rPr>
      </w:pPr>
      <w:r>
        <w:rPr>
          <w:rFonts w:cs="Arial" w:ascii="Verdana" w:hAnsi="Verdana"/>
          <w:sz w:val="21"/>
          <w:szCs w:val="21"/>
          <w:lang w:eastAsia="en-US"/>
        </w:rPr>
      </w:r>
    </w:p>
    <w:p>
      <w:pPr>
        <w:pStyle w:val="PADRO"/>
        <w:keepNext w:val="false"/>
        <w:widowControl/>
        <w:numPr>
          <w:ilvl w:val="0"/>
          <w:numId w:val="1"/>
        </w:numPr>
        <w:shd w:val="clear" w:color="auto" w:fill="auto"/>
        <w:spacing w:before="120" w:after="120"/>
        <w:rPr>
          <w:rFonts w:cs="Arial"/>
          <w:b/>
          <w:b/>
        </w:rPr>
      </w:pPr>
      <w:r>
        <w:rPr>
          <w:rFonts w:cs="Arial" w:ascii="Verdana" w:hAnsi="Verdana"/>
          <w:b/>
          <w:sz w:val="21"/>
          <w:szCs w:val="21"/>
        </w:rPr>
        <w:t>HABILITAÇÃO</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1"/>
          <w:szCs w:val="21"/>
          <w:lang w:eastAsia="ar-SA"/>
        </w:rPr>
        <w:t>Os documentos a serem exigidos para fins de habilitação constam do ANEXO I – DOCUMENTAÇÃO EXIGIDA PARA HABILITAÇÃO deste aviso e serão solicitados do fornecedor com a melhor proposta.</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1"/>
          <w:szCs w:val="21"/>
          <w:lang w:eastAsia="ar-SA"/>
        </w:rPr>
        <w:t>Os documentos relativos à habilitação dos licitantes deverão ser encaminhados até a abertura da sessão pública (fim de recebimento das propostas), conforme previsto neste edital, por meio eletrônico, através do e-mail saogabrielprev@gmail.com, nos formatos (extensões) “pdf” ou “doc”, ou em envelope lacrado enviado/entregue na sede do SGP-Prev, localizada na Rua Catarina Glazar, 166, bairro Glória, São Gabriel da Palha – ES, CEP 29780-000.</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1"/>
          <w:szCs w:val="21"/>
          <w:lang w:eastAsia="ar-SA"/>
        </w:rPr>
        <w:t>O não cumprimento do envio dos documentos de habilitação dentro dos prazos estabelecidos acarretará a desclassificação e/ou inabilitação da licitante, podendo o Agente de Contratação convocar a empresa que apresentou a proposta ou o lance subsequente.</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1"/>
          <w:szCs w:val="21"/>
          <w:lang w:eastAsia="ar-SA"/>
        </w:rPr>
        <w:t>A empresa participante e seu representante legal são responsáveis pela autenticidade e veracidade dos documentos enviados tanto fisicamente como eletronicamente.</w:t>
      </w:r>
    </w:p>
    <w:p>
      <w:pPr>
        <w:pStyle w:val="ListParagraph"/>
        <w:numPr>
          <w:ilvl w:val="1"/>
          <w:numId w:val="1"/>
        </w:numPr>
        <w:spacing w:lineRule="auto" w:line="276" w:before="120" w:after="120"/>
        <w:ind w:left="567" w:hanging="574"/>
        <w:contextualSpacing/>
        <w:jc w:val="both"/>
        <w:rPr>
          <w:rFonts w:cs="Arial"/>
          <w:b w:val="false"/>
          <w:b w:val="false"/>
          <w:bCs w:val="false"/>
          <w:lang w:eastAsia="ar-SA"/>
        </w:rPr>
      </w:pPr>
      <w:r>
        <w:rPr>
          <w:rFonts w:cs="Arial" w:ascii="Verdana" w:hAnsi="Verdana"/>
          <w:b w:val="false"/>
          <w:bCs w:val="false"/>
          <w:sz w:val="21"/>
          <w:szCs w:val="21"/>
          <w:lang w:eastAsia="ar-SA"/>
        </w:rPr>
        <w:t xml:space="preserve">Constatado o atendimento às exigências de habilitação, o fornecedor será habilitado. </w:t>
      </w:r>
    </w:p>
    <w:p>
      <w:pPr>
        <w:pStyle w:val="PADRO"/>
        <w:keepNext w:val="false"/>
        <w:widowControl/>
        <w:numPr>
          <w:ilvl w:val="0"/>
          <w:numId w:val="1"/>
        </w:numPr>
        <w:shd w:val="clear" w:color="auto" w:fill="auto"/>
        <w:spacing w:before="120" w:after="0"/>
        <w:rPr>
          <w:rFonts w:cs="Arial"/>
          <w:b/>
          <w:b/>
        </w:rPr>
      </w:pPr>
      <w:r>
        <w:rPr>
          <w:rFonts w:cs="Arial" w:ascii="Verdana" w:hAnsi="Verdana"/>
          <w:b/>
          <w:sz w:val="21"/>
          <w:szCs w:val="21"/>
        </w:rPr>
        <w:t>CONTRATAÇÃO</w:t>
      </w:r>
    </w:p>
    <w:p>
      <w:pPr>
        <w:pStyle w:val="Normal"/>
        <w:numPr>
          <w:ilvl w:val="1"/>
          <w:numId w:val="1"/>
        </w:numPr>
        <w:tabs>
          <w:tab w:val="clear" w:pos="708"/>
          <w:tab w:val="left" w:pos="574" w:leader="none"/>
        </w:tabs>
        <w:spacing w:lineRule="auto" w:line="276" w:before="0" w:after="120"/>
        <w:ind w:left="0" w:hanging="0"/>
        <w:jc w:val="both"/>
        <w:rPr>
          <w:rFonts w:eastAsia="Arial" w:cs="Arial"/>
        </w:rPr>
      </w:pPr>
      <w:r>
        <w:rPr>
          <w:rFonts w:eastAsia="Arial" w:cs="Arial" w:ascii="Verdana" w:hAnsi="Verdana"/>
          <w:sz w:val="21"/>
          <w:szCs w:val="21"/>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0" w:after="120"/>
        <w:ind w:left="0" w:hanging="0"/>
        <w:jc w:val="both"/>
        <w:rPr>
          <w:rFonts w:eastAsia="Arial" w:cs="Arial"/>
        </w:rPr>
      </w:pPr>
      <w:r>
        <w:rPr>
          <w:rFonts w:eastAsia="Arial" w:cs="Arial" w:ascii="Verdana" w:hAnsi="Verdana"/>
          <w:sz w:val="21"/>
          <w:szCs w:val="21"/>
        </w:rPr>
        <w:t>O adjudicatário terá o prazo de 05 (cinco) dias úteis, contados a partir da data de sua convocação, para assinar o Termo de Contrato ou aceitar instrumento equivalente, conforme o caso (Nota de Empenho/Carta Contrato/Autorização de Fornecimento/Serviços), sob pena de decair do direito à contratação, sem prejuízo das sanções previstas neste Aviso de Contratação Direta;</w:t>
      </w:r>
    </w:p>
    <w:p>
      <w:pPr>
        <w:pStyle w:val="Normal"/>
        <w:numPr>
          <w:ilvl w:val="1"/>
          <w:numId w:val="1"/>
        </w:numPr>
        <w:tabs>
          <w:tab w:val="clear" w:pos="708"/>
          <w:tab w:val="left" w:pos="574" w:leader="none"/>
        </w:tabs>
        <w:spacing w:lineRule="auto" w:line="276" w:before="0" w:after="120"/>
        <w:ind w:left="0" w:hanging="0"/>
        <w:jc w:val="both"/>
        <w:rPr>
          <w:rFonts w:eastAsia="Arial" w:cs="Arial"/>
          <w:iCs/>
        </w:rPr>
      </w:pPr>
      <w:r>
        <w:rPr>
          <w:rFonts w:eastAsia="Arial" w:cs="Arial" w:ascii="Verdana" w:hAnsi="Verdana"/>
          <w:iCs/>
          <w:sz w:val="21"/>
          <w:szCs w:val="21"/>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1"/>
          <w:numId w:val="1"/>
        </w:numPr>
        <w:tabs>
          <w:tab w:val="clear" w:pos="708"/>
          <w:tab w:val="left" w:pos="574" w:leader="none"/>
        </w:tabs>
        <w:spacing w:lineRule="auto" w:line="276" w:before="0" w:after="120"/>
        <w:ind w:left="0" w:hanging="0"/>
        <w:jc w:val="both"/>
        <w:rPr>
          <w:rFonts w:ascii="Verdana" w:hAnsi="Verdana"/>
          <w:sz w:val="21"/>
          <w:szCs w:val="21"/>
        </w:rPr>
      </w:pPr>
      <w:r>
        <w:rPr>
          <w:rFonts w:eastAsia="Arial" w:cs="Arial" w:ascii="Verdana" w:hAnsi="Verdana"/>
          <w:sz w:val="21"/>
          <w:szCs w:val="21"/>
        </w:rPr>
        <w:t xml:space="preserve">O prazo previsto para assinatura do contrato ou aceitação da nota de empenho ou instrumento equivalente poderá ser prorrogado </w:t>
      </w:r>
      <w:r>
        <w:rPr>
          <w:rFonts w:cs="Times New Roman" w:ascii="Verdana" w:hAnsi="Verdana"/>
          <w:bCs/>
          <w:sz w:val="21"/>
          <w:szCs w:val="21"/>
        </w:rPr>
        <w:t>1 (uma) vez</w:t>
      </w:r>
      <w:r>
        <w:rPr>
          <w:rFonts w:eastAsia="Arial" w:cs="Arial" w:ascii="Verdana" w:hAnsi="Verdana"/>
          <w:sz w:val="21"/>
          <w:szCs w:val="21"/>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left="0" w:hanging="0"/>
        <w:jc w:val="both"/>
        <w:rPr>
          <w:rFonts w:eastAsia="Arial" w:cs="Arial"/>
          <w:iCs/>
        </w:rPr>
      </w:pPr>
      <w:r>
        <w:rPr>
          <w:rFonts w:eastAsia="Arial" w:cs="Arial" w:ascii="Verdana" w:hAnsi="Verdana"/>
          <w:iCs/>
          <w:sz w:val="21"/>
          <w:szCs w:val="21"/>
        </w:rPr>
        <w:t>O Aceite da Nota de Empenho ou do instrumento equivalente, emitida à empresa adjudicada, implica o reconhecimento de que:</w:t>
      </w:r>
    </w:p>
    <w:p>
      <w:pPr>
        <w:pStyle w:val="Normal"/>
        <w:numPr>
          <w:ilvl w:val="2"/>
          <w:numId w:val="1"/>
        </w:numPr>
        <w:spacing w:lineRule="auto" w:line="276" w:before="120" w:after="120"/>
        <w:jc w:val="both"/>
        <w:rPr>
          <w:rFonts w:eastAsia="Arial" w:cs="Arial"/>
          <w:iCs/>
        </w:rPr>
      </w:pPr>
      <w:r>
        <w:rPr>
          <w:rFonts w:eastAsia="Arial" w:cs="Arial" w:ascii="Verdana" w:hAnsi="Verdana"/>
          <w:iCs/>
          <w:sz w:val="21"/>
          <w:szCs w:val="21"/>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Cs/>
        </w:rPr>
      </w:pPr>
      <w:r>
        <w:rPr>
          <w:rFonts w:eastAsia="Arial" w:cs="Arial" w:ascii="Verdana" w:hAnsi="Verdana"/>
          <w:iCs/>
          <w:sz w:val="21"/>
          <w:szCs w:val="21"/>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Cs/>
        </w:rPr>
      </w:pPr>
      <w:r>
        <w:rPr>
          <w:rFonts w:eastAsia="Arial" w:cs="Arial" w:ascii="Verdana" w:hAnsi="Verdana"/>
          <w:iCs/>
          <w:sz w:val="21"/>
          <w:szCs w:val="21"/>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left="0" w:hanging="0"/>
        <w:jc w:val="both"/>
        <w:rPr>
          <w:rFonts w:ascii="Verdana" w:hAnsi="Verdana"/>
          <w:sz w:val="21"/>
          <w:szCs w:val="21"/>
        </w:rPr>
      </w:pPr>
      <w:r>
        <w:rPr>
          <w:rFonts w:eastAsia="Arial" w:cs="Arial" w:ascii="Verdana" w:hAnsi="Verdana"/>
          <w:sz w:val="21"/>
          <w:szCs w:val="21"/>
        </w:rPr>
        <w:t xml:space="preserve">O prazo de vigência da contratação é de </w:t>
      </w:r>
      <w:r>
        <w:rPr>
          <w:rFonts w:eastAsia="Arial" w:cs="Arial" w:ascii="Verdana" w:hAnsi="Verdana"/>
          <w:b/>
          <w:bCs/>
          <w:sz w:val="21"/>
          <w:szCs w:val="21"/>
        </w:rPr>
        <w:t>12 (doze) meses</w:t>
      </w:r>
      <w:r>
        <w:rPr>
          <w:rFonts w:eastAsia="Arial" w:cs="Arial" w:ascii="Verdana" w:hAnsi="Verdana"/>
          <w:sz w:val="21"/>
          <w:szCs w:val="21"/>
        </w:rPr>
        <w:t xml:space="preserve"> </w:t>
      </w:r>
      <w:r>
        <w:rPr>
          <w:rFonts w:eastAsia="Arial" w:ascii="Verdana" w:hAnsi="Verdana"/>
          <w:sz w:val="21"/>
          <w:szCs w:val="21"/>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left="0" w:hanging="0"/>
        <w:jc w:val="both"/>
        <w:rPr>
          <w:rFonts w:cs="Arial"/>
          <w:shd w:fill="auto" w:val="clear"/>
        </w:rPr>
      </w:pPr>
      <w:r>
        <w:rPr>
          <w:rFonts w:cs="Arial" w:ascii="Verdana" w:hAnsi="Verdana"/>
          <w:sz w:val="21"/>
          <w:szCs w:val="21"/>
          <w:shd w:fill="auto" w:val="clear"/>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before="120" w:after="0"/>
        <w:jc w:val="both"/>
        <w:rPr>
          <w:rFonts w:ascii="Verdana" w:hAnsi="Verdana" w:eastAsia="Arial" w:cs="Arial"/>
          <w:sz w:val="21"/>
          <w:szCs w:val="21"/>
        </w:rPr>
      </w:pPr>
      <w:r>
        <w:rPr>
          <w:rFonts w:eastAsia="Arial" w:cs="Arial" w:ascii="Verdana" w:hAnsi="Verdana"/>
          <w:sz w:val="21"/>
          <w:szCs w:val="21"/>
        </w:rPr>
      </w:r>
    </w:p>
    <w:p>
      <w:pPr>
        <w:pStyle w:val="PADRO"/>
        <w:keepNext w:val="false"/>
        <w:widowControl/>
        <w:numPr>
          <w:ilvl w:val="0"/>
          <w:numId w:val="1"/>
        </w:numPr>
        <w:shd w:val="clear" w:color="auto" w:fill="auto"/>
        <w:spacing w:before="120" w:after="0"/>
        <w:rPr>
          <w:rFonts w:cs="Arial"/>
          <w:b/>
          <w:b/>
        </w:rPr>
      </w:pPr>
      <w:r>
        <w:rPr>
          <w:rFonts w:cs="Arial" w:ascii="Verdana" w:hAnsi="Verdana"/>
          <w:b/>
          <w:sz w:val="21"/>
          <w:szCs w:val="21"/>
        </w:rPr>
        <w:t>DAS INFRAÇÕES E SANÇÕES ADMINISTRATIVAS</w:t>
      </w:r>
    </w:p>
    <w:p>
      <w:pPr>
        <w:pStyle w:val="Normal"/>
        <w:numPr>
          <w:ilvl w:val="1"/>
          <w:numId w:val="1"/>
        </w:numPr>
        <w:tabs>
          <w:tab w:val="clear" w:pos="708"/>
          <w:tab w:val="left" w:pos="574" w:leader="none"/>
        </w:tabs>
        <w:spacing w:lineRule="auto" w:line="276" w:before="0" w:after="120"/>
        <w:ind w:left="0" w:hanging="0"/>
        <w:jc w:val="both"/>
        <w:rPr>
          <w:rFonts w:cs="Arial"/>
        </w:rPr>
      </w:pPr>
      <w:r>
        <w:rPr>
          <w:rFonts w:cs="Arial" w:ascii="Verdana" w:hAnsi="Verdana"/>
          <w:sz w:val="21"/>
          <w:szCs w:val="21"/>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ascii="Verdana" w:hAnsi="Verdana"/>
          <w:sz w:val="21"/>
          <w:szCs w:val="21"/>
        </w:rPr>
        <w:t>dar causa à inexecução parcial do contrato;</w:t>
      </w:r>
    </w:p>
    <w:p>
      <w:pPr>
        <w:pStyle w:val="Normal"/>
        <w:numPr>
          <w:ilvl w:val="2"/>
          <w:numId w:val="1"/>
        </w:numPr>
        <w:spacing w:lineRule="auto" w:line="276" w:before="120" w:after="120"/>
        <w:jc w:val="both"/>
        <w:rPr>
          <w:rFonts w:cs="Arial"/>
        </w:rPr>
      </w:pPr>
      <w:r>
        <w:rPr>
          <w:rFonts w:cs="Arial" w:ascii="Verdana" w:hAnsi="Verdana"/>
          <w:sz w:val="21"/>
          <w:szCs w:val="21"/>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ascii="Verdana" w:hAnsi="Verdana"/>
          <w:sz w:val="21"/>
          <w:szCs w:val="21"/>
        </w:rPr>
        <w:t>dar causa à inexecução total do contrato;</w:t>
      </w:r>
    </w:p>
    <w:p>
      <w:pPr>
        <w:pStyle w:val="Normal"/>
        <w:numPr>
          <w:ilvl w:val="2"/>
          <w:numId w:val="1"/>
        </w:numPr>
        <w:spacing w:lineRule="auto" w:line="276" w:before="120" w:after="120"/>
        <w:jc w:val="both"/>
        <w:rPr>
          <w:rFonts w:cs="Arial"/>
        </w:rPr>
      </w:pPr>
      <w:r>
        <w:rPr>
          <w:rFonts w:cs="Arial" w:ascii="Verdana" w:hAnsi="Verdana"/>
          <w:sz w:val="21"/>
          <w:szCs w:val="21"/>
        </w:rPr>
        <w:t>deixar de entregar a documentação exigida para o certame;</w:t>
      </w:r>
    </w:p>
    <w:p>
      <w:pPr>
        <w:pStyle w:val="Normal"/>
        <w:numPr>
          <w:ilvl w:val="2"/>
          <w:numId w:val="1"/>
        </w:numPr>
        <w:spacing w:lineRule="auto" w:line="276" w:before="120" w:after="120"/>
        <w:jc w:val="both"/>
        <w:rPr>
          <w:rFonts w:cs="Arial"/>
        </w:rPr>
      </w:pPr>
      <w:r>
        <w:rPr>
          <w:rFonts w:cs="Arial" w:ascii="Verdana" w:hAnsi="Verdana"/>
          <w:sz w:val="21"/>
          <w:szCs w:val="21"/>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ascii="Verdana" w:hAnsi="Verdana"/>
          <w:sz w:val="21"/>
          <w:szCs w:val="21"/>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ascii="Verdana" w:hAnsi="Verdana"/>
          <w:sz w:val="21"/>
          <w:szCs w:val="21"/>
        </w:rPr>
        <w:t> </w:t>
      </w:r>
      <w:r>
        <w:rPr>
          <w:rFonts w:cs="Arial" w:ascii="Verdana" w:hAnsi="Verdana"/>
          <w:sz w:val="21"/>
          <w:szCs w:val="21"/>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ascii="Verdana" w:hAnsi="Verdana"/>
          <w:sz w:val="21"/>
          <w:szCs w:val="21"/>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ascii="Verdana" w:hAnsi="Verdana"/>
          <w:sz w:val="21"/>
          <w:szCs w:val="21"/>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ascii="Verdana" w:hAnsi="Verdana"/>
          <w:sz w:val="21"/>
          <w:szCs w:val="21"/>
        </w:rPr>
        <w:t> </w:t>
      </w:r>
      <w:r>
        <w:rPr>
          <w:rFonts w:cs="Arial" w:ascii="Verdana" w:hAnsi="Verdana"/>
          <w:sz w:val="21"/>
          <w:szCs w:val="21"/>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ascii="Verdana" w:hAnsi="Verdana"/>
          <w:sz w:val="21"/>
          <w:szCs w:val="21"/>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ind w:left="1134" w:hanging="425"/>
        <w:jc w:val="both"/>
        <w:rPr>
          <w:rFonts w:cs="Arial"/>
        </w:rPr>
      </w:pPr>
      <w:r>
        <w:rPr>
          <w:rFonts w:cs="Arial" w:ascii="Verdana" w:hAnsi="Verdana"/>
          <w:sz w:val="21"/>
          <w:szCs w:val="21"/>
        </w:rPr>
        <w:t>praticar atos ilícitos com vistas a frustrar os objetivos deste certame.</w:t>
      </w:r>
    </w:p>
    <w:p>
      <w:pPr>
        <w:pStyle w:val="Normal"/>
        <w:numPr>
          <w:ilvl w:val="2"/>
          <w:numId w:val="1"/>
        </w:numPr>
        <w:spacing w:lineRule="auto" w:line="276" w:before="120" w:after="120"/>
        <w:ind w:left="1134" w:hanging="406"/>
        <w:jc w:val="both"/>
        <w:rPr/>
      </w:pPr>
      <w:r>
        <w:rPr>
          <w:rFonts w:cs="Arial" w:ascii="Verdana" w:hAnsi="Verdana"/>
          <w:sz w:val="21"/>
          <w:szCs w:val="21"/>
        </w:rPr>
        <w:t>praticar ato lesivo previsto no </w:t>
      </w:r>
      <w:r>
        <w:fldChar w:fldCharType="begin"/>
      </w:r>
      <w:r>
        <w:rPr>
          <w:sz w:val="21"/>
          <w:szCs w:val="21"/>
          <w:rFonts w:ascii="Verdana" w:hAnsi="Verdana"/>
        </w:rPr>
        <w:instrText xml:space="preserve"> HYPERLINK "http://www.planalto.gov.br/ccivil_03/_Ato2011-2014/2013/Lei/L12846.htm" \l "art5"</w:instrText>
      </w:r>
      <w:r>
        <w:rPr>
          <w:sz w:val="21"/>
          <w:szCs w:val="21"/>
          <w:rFonts w:ascii="Verdana" w:hAnsi="Verdana"/>
        </w:rPr>
        <w:fldChar w:fldCharType="separate"/>
      </w:r>
      <w:r>
        <w:rPr>
          <w:rFonts w:ascii="Verdana" w:hAnsi="Verdana"/>
          <w:sz w:val="21"/>
          <w:szCs w:val="21"/>
        </w:rPr>
        <w:t>art. 5º da Lei nº 12.846, de 1º de agosto de 2013.</w:t>
      </w:r>
      <w:r>
        <w:rPr>
          <w:sz w:val="21"/>
          <w:szCs w:val="21"/>
          <w:rFonts w:ascii="Verdana" w:hAnsi="Verdana"/>
        </w:rPr>
        <w:fldChar w:fldCharType="end"/>
      </w:r>
    </w:p>
    <w:p>
      <w:pPr>
        <w:pStyle w:val="Normal"/>
        <w:numPr>
          <w:ilvl w:val="1"/>
          <w:numId w:val="1"/>
        </w:numPr>
        <w:tabs>
          <w:tab w:val="clear" w:pos="708"/>
          <w:tab w:val="left" w:pos="574" w:leader="none"/>
        </w:tabs>
        <w:spacing w:lineRule="auto" w:line="276" w:before="120" w:after="120"/>
        <w:ind w:left="0" w:hanging="0"/>
        <w:jc w:val="both"/>
        <w:rPr>
          <w:rFonts w:cs="Arial"/>
        </w:rPr>
      </w:pPr>
      <w:r>
        <w:rPr>
          <w:rFonts w:cs="Arial" w:ascii="Verdana" w:hAnsi="Verdana"/>
          <w:sz w:val="21"/>
          <w:szCs w:val="21"/>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jc w:val="both"/>
        <w:rPr>
          <w:rFonts w:ascii="Verdana" w:hAnsi="Verdana"/>
          <w:sz w:val="21"/>
          <w:szCs w:val="21"/>
        </w:rPr>
      </w:pPr>
      <w:r>
        <w:rPr>
          <w:rFonts w:cs="Arial" w:ascii="Verdana" w:hAnsi="Verdana"/>
          <w:sz w:val="21"/>
          <w:szCs w:val="21"/>
        </w:rPr>
        <w:t>Advertência pela falta do subitem 7.1.1 deste Aviso de Contratação Direta,</w:t>
      </w:r>
      <w:r>
        <w:rPr>
          <w:rFonts w:ascii="Verdana" w:hAnsi="Verdana"/>
          <w:sz w:val="21"/>
          <w:szCs w:val="21"/>
        </w:rPr>
        <w:t xml:space="preserve"> </w:t>
      </w:r>
      <w:r>
        <w:rPr>
          <w:rFonts w:cs="Arial" w:ascii="Verdana" w:hAnsi="Verdana"/>
          <w:sz w:val="21"/>
          <w:szCs w:val="21"/>
        </w:rPr>
        <w:t>quando não se justificar a imposição de penalidade mais grave;</w:t>
      </w:r>
    </w:p>
    <w:p>
      <w:pPr>
        <w:pStyle w:val="Normal"/>
        <w:numPr>
          <w:ilvl w:val="2"/>
          <w:numId w:val="2"/>
        </w:numPr>
        <w:spacing w:lineRule="auto" w:line="276" w:before="120" w:after="120"/>
        <w:jc w:val="both"/>
        <w:rPr>
          <w:rFonts w:cs="Arial"/>
        </w:rPr>
      </w:pPr>
      <w:r>
        <w:rPr>
          <w:rFonts w:cs="Arial" w:ascii="Verdana" w:hAnsi="Verdana"/>
          <w:sz w:val="21"/>
          <w:szCs w:val="21"/>
        </w:rPr>
        <w:t>Multa de 30% (trinta por cento) sobre o valor estimado do(s) item(s) prejudicado(s) pela conduta do fornecedor, por qualquer das infrações dos subitens 7.1.1 a 7.1.12;</w:t>
      </w:r>
    </w:p>
    <w:p>
      <w:pPr>
        <w:pStyle w:val="Normal"/>
        <w:numPr>
          <w:ilvl w:val="2"/>
          <w:numId w:val="2"/>
        </w:numPr>
        <w:spacing w:lineRule="auto" w:line="276" w:before="120" w:after="120"/>
        <w:jc w:val="both"/>
        <w:rPr>
          <w:rFonts w:cs="Arial"/>
        </w:rPr>
      </w:pPr>
      <w:r>
        <w:rPr>
          <w:rFonts w:cs="Arial" w:ascii="Verdana" w:hAnsi="Verdana"/>
          <w:sz w:val="21"/>
          <w:szCs w:val="21"/>
        </w:rPr>
        <w:t>Impedimento de licitar e contratar no âmbito da Administração Pública direta e indireta do ente federativo que tiver aplicado a sanção, pelo prazo máximo de 3 (três) anos, nos casos dos subitens 7.1.2 a 7.1.7 deste Aviso de Contratação Direta, quando não se justificar a imposição de penalidade mais grave;</w:t>
      </w:r>
    </w:p>
    <w:p>
      <w:pPr>
        <w:pStyle w:val="Normal"/>
        <w:numPr>
          <w:ilvl w:val="2"/>
          <w:numId w:val="2"/>
        </w:numPr>
        <w:spacing w:lineRule="auto" w:line="276" w:before="120" w:after="120"/>
        <w:jc w:val="both"/>
        <w:rPr>
          <w:rFonts w:cs="Arial"/>
        </w:rPr>
      </w:pPr>
      <w:r>
        <w:rPr>
          <w:rFonts w:cs="Arial" w:ascii="Verdana" w:hAnsi="Verdana"/>
          <w:sz w:val="21"/>
          <w:szCs w:val="21"/>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7.1.8 a 7.1.12,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left="0" w:hanging="0"/>
        <w:jc w:val="both"/>
        <w:rPr>
          <w:rFonts w:cs="Arial"/>
          <w:bCs/>
        </w:rPr>
      </w:pPr>
      <w:r>
        <w:rPr>
          <w:rFonts w:cs="Arial" w:ascii="Verdana" w:hAnsi="Verdana"/>
          <w:bCs/>
          <w:sz w:val="21"/>
          <w:szCs w:val="21"/>
        </w:rPr>
        <w:t>Na aplicação das sanções serão considerados:</w:t>
      </w:r>
    </w:p>
    <w:p>
      <w:pPr>
        <w:pStyle w:val="Normal"/>
        <w:numPr>
          <w:ilvl w:val="2"/>
          <w:numId w:val="1"/>
        </w:numPr>
        <w:spacing w:lineRule="auto" w:line="276" w:before="120" w:after="120"/>
        <w:jc w:val="both"/>
        <w:rPr>
          <w:rFonts w:cs="Arial"/>
          <w:bCs/>
        </w:rPr>
      </w:pPr>
      <w:r>
        <w:rPr>
          <w:rFonts w:cs="Arial" w:ascii="Verdana" w:hAnsi="Verdana"/>
          <w:bCs/>
          <w:sz w:val="21"/>
          <w:szCs w:val="21"/>
        </w:rPr>
        <w:t>a natureza e a gravidade da infração cometida;</w:t>
      </w:r>
    </w:p>
    <w:p>
      <w:pPr>
        <w:pStyle w:val="Normal"/>
        <w:numPr>
          <w:ilvl w:val="2"/>
          <w:numId w:val="1"/>
        </w:numPr>
        <w:spacing w:lineRule="auto" w:line="276" w:before="120" w:after="120"/>
        <w:jc w:val="both"/>
        <w:rPr>
          <w:rFonts w:cs="Arial"/>
          <w:bCs/>
        </w:rPr>
      </w:pPr>
      <w:r>
        <w:rPr>
          <w:rFonts w:cs="Arial" w:ascii="Verdana" w:hAnsi="Verdana"/>
          <w:bCs/>
          <w:sz w:val="21"/>
          <w:szCs w:val="21"/>
        </w:rPr>
        <w:t>as peculiaridades do caso concreto;</w:t>
      </w:r>
    </w:p>
    <w:p>
      <w:pPr>
        <w:pStyle w:val="Normal"/>
        <w:numPr>
          <w:ilvl w:val="2"/>
          <w:numId w:val="1"/>
        </w:numPr>
        <w:spacing w:lineRule="auto" w:line="276" w:before="120" w:after="120"/>
        <w:jc w:val="both"/>
        <w:rPr>
          <w:rFonts w:cs="Arial"/>
          <w:bCs/>
        </w:rPr>
      </w:pPr>
      <w:r>
        <w:rPr>
          <w:rFonts w:cs="Arial" w:ascii="Verdana" w:hAnsi="Verdana"/>
          <w:bCs/>
          <w:sz w:val="21"/>
          <w:szCs w:val="21"/>
        </w:rPr>
        <w:t>as circunstâncias agravantes ou atenuantes;</w:t>
      </w:r>
    </w:p>
    <w:p>
      <w:pPr>
        <w:pStyle w:val="Normal"/>
        <w:numPr>
          <w:ilvl w:val="2"/>
          <w:numId w:val="1"/>
        </w:numPr>
        <w:spacing w:lineRule="auto" w:line="276" w:before="120" w:after="120"/>
        <w:jc w:val="both"/>
        <w:rPr>
          <w:rFonts w:cs="Arial"/>
          <w:bCs/>
        </w:rPr>
      </w:pPr>
      <w:r>
        <w:rPr>
          <w:rFonts w:cs="Arial" w:ascii="Verdana" w:hAnsi="Verdana"/>
          <w:bCs/>
          <w:sz w:val="21"/>
          <w:szCs w:val="21"/>
        </w:rPr>
        <w:t>os danos que dela provierem para a Administração Pública;</w:t>
      </w:r>
    </w:p>
    <w:p>
      <w:pPr>
        <w:pStyle w:val="Normal"/>
        <w:numPr>
          <w:ilvl w:val="2"/>
          <w:numId w:val="1"/>
        </w:numPr>
        <w:spacing w:lineRule="auto" w:line="276" w:before="120" w:after="120"/>
        <w:jc w:val="both"/>
        <w:rPr>
          <w:rFonts w:cs="Arial"/>
          <w:bCs/>
        </w:rPr>
      </w:pPr>
      <w:r>
        <w:rPr>
          <w:rFonts w:cs="Arial" w:ascii="Verdana" w:hAnsi="Verdana"/>
          <w:bCs/>
          <w:sz w:val="21"/>
          <w:szCs w:val="21"/>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left="0" w:hanging="0"/>
        <w:jc w:val="both"/>
        <w:rPr>
          <w:rFonts w:cs="Arial"/>
        </w:rPr>
      </w:pPr>
      <w:bookmarkStart w:id="1" w:name="art156%252525252525252525252525252525C2%"/>
      <w:bookmarkStart w:id="2" w:name="art156%252525252525252525252525252525C2%"/>
      <w:bookmarkStart w:id="3" w:name="art156%252525252525252525252525252525C2%"/>
      <w:bookmarkEnd w:id="1"/>
      <w:bookmarkEnd w:id="2"/>
      <w:bookmarkEnd w:id="3"/>
      <w:r>
        <w:rPr>
          <w:rFonts w:cs="Arial" w:ascii="Verdana" w:hAnsi="Verdana"/>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4" w:name="art156%252525252525252525252525252525C2%"/>
      <w:bookmarkEnd w:id="4"/>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1"/>
          <w:szCs w:val="21"/>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1"/>
          <w:szCs w:val="21"/>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1"/>
          <w:szCs w:val="2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1"/>
          <w:szCs w:val="21"/>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1"/>
          <w:szCs w:val="2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1"/>
          <w:szCs w:val="21"/>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left="0" w:hanging="0"/>
        <w:jc w:val="both"/>
        <w:rPr>
          <w:rFonts w:cs="Arial"/>
        </w:rPr>
      </w:pPr>
      <w:r>
        <w:rPr>
          <w:rFonts w:cs="Arial" w:ascii="Verdana" w:hAnsi="Verdana"/>
          <w:sz w:val="21"/>
          <w:szCs w:val="21"/>
        </w:rPr>
        <w:t>As sanções por atos praticados no decorrer da contratação estão previstas nos anexos a este Aviso.</w:t>
      </w:r>
    </w:p>
    <w:p>
      <w:pPr>
        <w:pStyle w:val="Normal"/>
        <w:tabs>
          <w:tab w:val="clear" w:pos="708"/>
          <w:tab w:val="left" w:pos="588" w:leader="none"/>
        </w:tabs>
        <w:spacing w:lineRule="auto" w:line="276"/>
        <w:jc w:val="both"/>
        <w:rPr>
          <w:rFonts w:ascii="Verdana" w:hAnsi="Verdana" w:cs="Arial"/>
          <w:sz w:val="21"/>
          <w:szCs w:val="21"/>
        </w:rPr>
      </w:pPr>
      <w:r>
        <w:rPr>
          <w:rFonts w:cs="Arial" w:ascii="Verdana" w:hAnsi="Verdana"/>
          <w:sz w:val="21"/>
          <w:szCs w:val="21"/>
        </w:rPr>
      </w:r>
    </w:p>
    <w:p>
      <w:pPr>
        <w:pStyle w:val="PADRO"/>
        <w:keepNext w:val="false"/>
        <w:widowControl/>
        <w:numPr>
          <w:ilvl w:val="0"/>
          <w:numId w:val="1"/>
        </w:numPr>
        <w:shd w:val="clear" w:color="auto" w:fill="auto"/>
        <w:spacing w:before="0" w:after="0"/>
        <w:rPr>
          <w:rFonts w:cs="Arial"/>
          <w:b/>
          <w:b/>
        </w:rPr>
      </w:pPr>
      <w:r>
        <w:rPr>
          <w:rFonts w:cs="Arial" w:ascii="Verdana" w:hAnsi="Verdana"/>
          <w:b/>
          <w:sz w:val="21"/>
          <w:szCs w:val="21"/>
        </w:rPr>
        <w:t>DOS RECURSOS</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sz w:val="21"/>
          <w:szCs w:val="21"/>
        </w:rPr>
        <w:t>Proferida a decisão que declara o vencedor, o Agente de Contratação informará aos licitantes que poderão interpor recurso motivadamente, imediatamente após a decisão.</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sz w:val="21"/>
          <w:szCs w:val="21"/>
        </w:rPr>
        <w:t>Os memoriais de recurso e as contrarrazões poderão ser encaminhas para o e-mail da Diretoria de Compras, Licitação e Contratos. A falta de interposição de recurso importará a decadência do direito de recurso.</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sz w:val="21"/>
          <w:szCs w:val="21"/>
        </w:rPr>
        <w:t>Na hipótese de interposição de recurso, o Agente de Contratação encaminhará os autos devidamente fundamentados à autoridade competente.</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sz w:val="21"/>
          <w:szCs w:val="21"/>
        </w:rPr>
        <w:t>Uma vez decididos os recursos administrativos eventualmente interpostos e, constatada a regularidade dos atos praticados, a autoridade competente, no interesse público, ratificará à licitante vencedora.</w:t>
      </w:r>
    </w:p>
    <w:p>
      <w:pPr>
        <w:pStyle w:val="Normal"/>
        <w:numPr>
          <w:ilvl w:val="1"/>
          <w:numId w:val="1"/>
        </w:numPr>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sz w:val="21"/>
          <w:szCs w:val="21"/>
        </w:rPr>
        <w:t>Não será concedido prazo para recursos sobre assuntos meramente protelatórios ou quando não justificada a intenção de interpor o recurso pelo proponente.</w:t>
      </w:r>
    </w:p>
    <w:p>
      <w:pPr>
        <w:pStyle w:val="Normal"/>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sz w:val="21"/>
          <w:szCs w:val="21"/>
        </w:rPr>
      </w:r>
    </w:p>
    <w:p>
      <w:pPr>
        <w:pStyle w:val="Normal"/>
        <w:tabs>
          <w:tab w:val="clear" w:pos="708"/>
          <w:tab w:val="left" w:pos="504" w:leader="none"/>
        </w:tabs>
        <w:snapToGrid w:val="false"/>
        <w:spacing w:lineRule="auto" w:line="276" w:before="0" w:after="120"/>
        <w:ind w:left="0" w:hanging="0"/>
        <w:jc w:val="both"/>
        <w:rPr>
          <w:b/>
          <w:b/>
          <w:bCs/>
        </w:rPr>
      </w:pPr>
      <w:r>
        <w:rPr>
          <w:rFonts w:ascii="Verdana" w:hAnsi="Verdana"/>
          <w:b/>
          <w:bCs/>
          <w:sz w:val="21"/>
          <w:szCs w:val="21"/>
        </w:rPr>
        <w:t>9. DA HOMOLOGAÇÃO</w:t>
      </w:r>
    </w:p>
    <w:p>
      <w:pPr>
        <w:pStyle w:val="Normal"/>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b/>
          <w:bCs/>
          <w:sz w:val="21"/>
          <w:szCs w:val="21"/>
        </w:rPr>
        <w:t>9.1</w:t>
      </w:r>
      <w:r>
        <w:rPr>
          <w:rFonts w:ascii="Verdana" w:hAnsi="Verdana"/>
          <w:sz w:val="21"/>
          <w:szCs w:val="21"/>
        </w:rPr>
        <w:t xml:space="preserve"> A Homologação é ato de competência da autoridade que determinou a abertura do procedimento.</w:t>
      </w:r>
    </w:p>
    <w:p>
      <w:pPr>
        <w:pStyle w:val="Normal"/>
        <w:tabs>
          <w:tab w:val="clear" w:pos="708"/>
          <w:tab w:val="left" w:pos="504" w:leader="none"/>
        </w:tabs>
        <w:snapToGrid w:val="false"/>
        <w:spacing w:lineRule="auto" w:line="276" w:before="0" w:after="120"/>
        <w:ind w:left="0" w:hanging="0"/>
        <w:jc w:val="both"/>
        <w:rPr>
          <w:b/>
          <w:b/>
          <w:bCs/>
        </w:rPr>
      </w:pPr>
      <w:r>
        <w:rPr>
          <w:rFonts w:ascii="Verdana" w:hAnsi="Verdana"/>
          <w:b/>
          <w:bCs/>
          <w:sz w:val="21"/>
          <w:szCs w:val="21"/>
        </w:rPr>
        <w:t>10 INTEGRAM ESTE EDITAL</w:t>
      </w:r>
    </w:p>
    <w:p>
      <w:pPr>
        <w:pStyle w:val="Normal"/>
        <w:tabs>
          <w:tab w:val="clear" w:pos="708"/>
          <w:tab w:val="left" w:pos="504" w:leader="none"/>
        </w:tabs>
        <w:snapToGrid w:val="false"/>
        <w:spacing w:lineRule="auto" w:line="276" w:before="0" w:after="120"/>
        <w:ind w:left="0" w:hanging="0"/>
        <w:jc w:val="both"/>
        <w:rPr>
          <w:rFonts w:ascii="Verdana" w:hAnsi="Verdana"/>
          <w:sz w:val="21"/>
          <w:szCs w:val="21"/>
        </w:rPr>
      </w:pPr>
      <w:r>
        <w:rPr>
          <w:rFonts w:ascii="Verdana" w:hAnsi="Verdana"/>
          <w:b/>
          <w:bCs/>
          <w:sz w:val="21"/>
          <w:szCs w:val="21"/>
        </w:rPr>
        <w:t xml:space="preserve">10.1 </w:t>
      </w:r>
      <w:r>
        <w:rPr>
          <w:rFonts w:ascii="Verdana" w:hAnsi="Verdana"/>
          <w:sz w:val="21"/>
          <w:szCs w:val="21"/>
        </w:rPr>
        <w:t>Integram este Aviso de Contratação Direta, para todos os fins e efeitos, os seguintes anexos:</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1"/>
          <w:szCs w:val="21"/>
        </w:rPr>
      </w:pPr>
      <w:r>
        <w:rPr>
          <w:rFonts w:ascii="Verdana" w:hAnsi="Verdana"/>
          <w:b/>
          <w:bCs/>
          <w:sz w:val="21"/>
          <w:szCs w:val="21"/>
        </w:rPr>
        <w:t xml:space="preserve">ANEXO I </w:t>
      </w:r>
      <w:r>
        <w:rPr>
          <w:rFonts w:ascii="Verdana" w:hAnsi="Verdana"/>
          <w:sz w:val="21"/>
          <w:szCs w:val="21"/>
        </w:rPr>
        <w:t>– Documentação exigida para Habilitação;</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1"/>
          <w:szCs w:val="21"/>
        </w:rPr>
      </w:pPr>
      <w:r>
        <w:rPr>
          <w:rFonts w:ascii="Verdana" w:hAnsi="Verdana"/>
          <w:b/>
          <w:bCs/>
          <w:sz w:val="21"/>
          <w:szCs w:val="21"/>
        </w:rPr>
        <w:t xml:space="preserve">ANEXO II </w:t>
      </w:r>
      <w:r>
        <w:rPr>
          <w:rFonts w:ascii="Verdana" w:hAnsi="Verdana"/>
          <w:sz w:val="21"/>
          <w:szCs w:val="21"/>
        </w:rPr>
        <w:t>- Termo de Referência;</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1"/>
          <w:szCs w:val="21"/>
        </w:rPr>
      </w:pPr>
      <w:r>
        <w:rPr>
          <w:rFonts w:ascii="Verdana" w:hAnsi="Verdana"/>
          <w:b/>
          <w:bCs/>
          <w:sz w:val="21"/>
          <w:szCs w:val="21"/>
        </w:rPr>
        <w:t>ANEXO II-1</w:t>
      </w:r>
      <w:r>
        <w:rPr>
          <w:rFonts w:ascii="Verdana" w:hAnsi="Verdana"/>
          <w:sz w:val="21"/>
          <w:szCs w:val="21"/>
        </w:rPr>
        <w:t xml:space="preserve"> – Minuta de Contrato;</w:t>
      </w:r>
    </w:p>
    <w:p>
      <w:pPr>
        <w:pStyle w:val="Normal"/>
        <w:widowControl/>
        <w:tabs>
          <w:tab w:val="clear" w:pos="708"/>
          <w:tab w:val="left" w:pos="504" w:leader="none"/>
        </w:tabs>
        <w:suppressAutoHyphens w:val="true"/>
        <w:bidi w:val="0"/>
        <w:snapToGrid w:val="false"/>
        <w:spacing w:lineRule="auto" w:line="276" w:before="0" w:after="120"/>
        <w:ind w:left="0" w:right="0" w:hanging="0"/>
        <w:jc w:val="both"/>
        <w:rPr>
          <w:rFonts w:ascii="Verdana" w:hAnsi="Verdana"/>
          <w:sz w:val="21"/>
          <w:szCs w:val="21"/>
        </w:rPr>
      </w:pPr>
      <w:r>
        <w:rPr>
          <w:rFonts w:ascii="Verdana" w:hAnsi="Verdana"/>
          <w:b/>
          <w:bCs/>
          <w:sz w:val="21"/>
          <w:szCs w:val="21"/>
        </w:rPr>
        <w:t xml:space="preserve">ANEXO III </w:t>
      </w:r>
      <w:r>
        <w:rPr>
          <w:rFonts w:ascii="Verdana" w:hAnsi="Verdana"/>
          <w:sz w:val="21"/>
          <w:szCs w:val="21"/>
        </w:rPr>
        <w:t xml:space="preserve">– Modelo de Proposta. </w:t>
      </w:r>
    </w:p>
    <w:p>
      <w:pPr>
        <w:pStyle w:val="Normal"/>
        <w:tabs>
          <w:tab w:val="clear" w:pos="708"/>
          <w:tab w:val="left" w:pos="504" w:leader="none"/>
        </w:tabs>
        <w:snapToGrid w:val="false"/>
        <w:spacing w:lineRule="auto" w:line="276" w:before="0" w:after="120"/>
        <w:ind w:left="0" w:hanging="0"/>
        <w:jc w:val="both"/>
        <w:rPr>
          <w:rFonts w:ascii="Verdana" w:hAnsi="Verdana" w:cs="Arial"/>
          <w:sz w:val="21"/>
          <w:szCs w:val="21"/>
        </w:rPr>
      </w:pPr>
      <w:r>
        <w:rPr>
          <w:rFonts w:cs="Arial" w:ascii="Verdana" w:hAnsi="Verdana"/>
          <w:sz w:val="21"/>
          <w:szCs w:val="21"/>
        </w:rPr>
      </w:r>
    </w:p>
    <w:p>
      <w:pPr>
        <w:pStyle w:val="Normal"/>
        <w:tabs>
          <w:tab w:val="clear" w:pos="708"/>
          <w:tab w:val="left" w:pos="1560" w:leader="none"/>
        </w:tabs>
        <w:spacing w:lineRule="auto" w:line="276"/>
        <w:ind w:left="1224" w:hanging="0"/>
        <w:jc w:val="both"/>
        <w:rPr>
          <w:rFonts w:ascii="Verdana" w:hAnsi="Verdana" w:cs="Arial"/>
          <w:sz w:val="21"/>
          <w:szCs w:val="21"/>
        </w:rPr>
      </w:pPr>
      <w:r>
        <w:rPr>
          <w:rFonts w:cs="Arial" w:ascii="Verdana" w:hAnsi="Verdana"/>
          <w:sz w:val="21"/>
          <w:szCs w:val="21"/>
        </w:rPr>
      </w:r>
    </w:p>
    <w:p>
      <w:pPr>
        <w:pStyle w:val="Normal"/>
        <w:spacing w:lineRule="auto" w:line="276" w:before="0" w:after="120"/>
        <w:ind w:left="360" w:right="-15" w:hanging="0"/>
        <w:jc w:val="center"/>
        <w:rPr>
          <w:rFonts w:ascii="Verdana" w:hAnsi="Verdana"/>
          <w:sz w:val="21"/>
          <w:szCs w:val="21"/>
        </w:rPr>
      </w:pPr>
      <w:r>
        <w:rPr>
          <w:rFonts w:cs="Arial" w:ascii="Verdana" w:hAnsi="Verdana"/>
          <w:sz w:val="21"/>
          <w:szCs w:val="21"/>
        </w:rPr>
        <w:t>São Gabriel da Palha – ES, 18 de novembro de 2024.</w:t>
      </w:r>
    </w:p>
    <w:p>
      <w:pPr>
        <w:pStyle w:val="Normal"/>
        <w:spacing w:lineRule="auto" w:line="276" w:before="0" w:after="120"/>
        <w:ind w:left="360" w:right="-15" w:hanging="0"/>
        <w:jc w:val="center"/>
        <w:rPr>
          <w:rFonts w:ascii="Verdana" w:hAnsi="Verdana" w:cs="Arial"/>
          <w:sz w:val="21"/>
          <w:szCs w:val="21"/>
        </w:rPr>
      </w:pPr>
      <w:r>
        <w:rPr>
          <w:rFonts w:cs="Arial" w:ascii="Verdana" w:hAnsi="Verdana"/>
          <w:sz w:val="21"/>
          <w:szCs w:val="21"/>
        </w:rPr>
      </w:r>
    </w:p>
    <w:p>
      <w:pPr>
        <w:pStyle w:val="Normal"/>
        <w:spacing w:lineRule="auto" w:line="276" w:before="0" w:after="120"/>
        <w:ind w:left="360" w:right="-15" w:hanging="0"/>
        <w:jc w:val="center"/>
        <w:rPr>
          <w:rFonts w:ascii="Verdana" w:hAnsi="Verdana" w:cs="Arial"/>
          <w:sz w:val="21"/>
          <w:szCs w:val="21"/>
        </w:rPr>
      </w:pPr>
      <w:r>
        <w:rPr>
          <w:rFonts w:cs="Arial" w:ascii="Verdana" w:hAnsi="Verdana"/>
          <w:sz w:val="21"/>
          <w:szCs w:val="21"/>
        </w:rPr>
      </w:r>
    </w:p>
    <w:p>
      <w:pPr>
        <w:pStyle w:val="Normal"/>
        <w:spacing w:lineRule="auto" w:line="276"/>
        <w:jc w:val="center"/>
        <w:rPr>
          <w:rFonts w:cs="Arial"/>
          <w:b/>
          <w:b/>
          <w:bCs/>
          <w:iCs/>
        </w:rPr>
      </w:pPr>
      <w:r>
        <w:rPr>
          <w:rFonts w:cs="Arial" w:ascii="Verdana" w:hAnsi="Verdana"/>
          <w:b/>
          <w:bCs/>
          <w:iCs/>
          <w:sz w:val="21"/>
          <w:szCs w:val="21"/>
        </w:rPr>
        <w:t>SULAMIKE DE OLIVEIRA PROFETA BASTOS</w:t>
      </w:r>
    </w:p>
    <w:p>
      <w:pPr>
        <w:pStyle w:val="Normal"/>
        <w:spacing w:lineRule="auto" w:line="276"/>
        <w:jc w:val="center"/>
        <w:rPr>
          <w:rFonts w:cs="Arial"/>
          <w:b/>
          <w:b/>
          <w:bCs/>
          <w:iCs/>
        </w:rPr>
      </w:pPr>
      <w:r>
        <w:rPr>
          <w:rFonts w:cs="Arial" w:ascii="Verdana" w:hAnsi="Verdana"/>
          <w:b/>
          <w:bCs/>
          <w:iCs/>
          <w:sz w:val="21"/>
          <w:szCs w:val="21"/>
        </w:rPr>
        <w:t>Diretora-Presidente SGP-Prev</w:t>
      </w:r>
    </w:p>
    <w:p>
      <w:pPr>
        <w:pStyle w:val="Textbody"/>
        <w:spacing w:lineRule="auto" w:line="276" w:before="0" w:after="240"/>
        <w:jc w:val="center"/>
        <w:rPr>
          <w:rFonts w:ascii="Verdana" w:hAnsi="Verdana"/>
          <w:sz w:val="20"/>
          <w:szCs w:val="20"/>
        </w:rPr>
      </w:pPr>
      <w:r>
        <w:rPr/>
      </w:r>
    </w:p>
    <w:sectPr>
      <w:headerReference w:type="even" r:id="rId3"/>
      <w:headerReference w:type="default" r:id="rId4"/>
      <w:headerReference w:type="first" r:id="rId5"/>
      <w:footerReference w:type="default" r:id="rId6"/>
      <w:type w:val="nextPage"/>
      <w:pgSz w:w="11906" w:h="16838"/>
      <w:pgMar w:left="1134" w:right="1133" w:gutter="0" w:header="567" w:top="1418" w:footer="567" w:bottom="138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Symbo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center"/>
      <w:rPr>
        <w:rFonts w:ascii="Calibri" w:hAnsi="Calibri"/>
        <w:sz w:val="22"/>
        <w:szCs w:val="22"/>
      </w:rPr>
    </w:pPr>
    <w:r>
      <w:rPr>
        <w:rFonts w:ascii="Calibri" w:hAnsi="Calibri"/>
        <w:sz w:val="22"/>
        <w:szCs w:val="22"/>
      </w:rPr>
      <w:t>Rua Catarina Glazar nº 166 – Glória – São Gabriel da Palha – CEP 29.780-000</w:t>
    </w:r>
  </w:p>
  <w:p>
    <w:pPr>
      <w:pStyle w:val="Rodap"/>
      <w:jc w:val="center"/>
      <w:rPr/>
    </w:pPr>
    <w:r>
      <w:rPr>
        <w:rStyle w:val="Nmerodepgina"/>
        <w:rFonts w:cs="Tahoma" w:ascii="Calibri" w:hAnsi="Calibri"/>
        <w:sz w:val="22"/>
        <w:szCs w:val="22"/>
      </w:rPr>
      <w:t xml:space="preserve"> </w:t>
    </w:r>
    <w:r>
      <w:rPr>
        <w:rStyle w:val="Nmerodepgina"/>
        <w:rFonts w:cs="Tahoma" w:ascii="Calibri" w:hAnsi="Calibri"/>
        <w:sz w:val="22"/>
        <w:szCs w:val="22"/>
      </w:rPr>
      <w:t xml:space="preserve">Telefone: (27) 3727-1697 - CNPJ 05.251.479/0001-52 E-mail:  </w:t>
    </w:r>
    <w:hyperlink r:id="rId1">
      <w:r>
        <w:rPr>
          <w:rStyle w:val="LinkdaInternet"/>
          <w:rFonts w:cs="Tahoma" w:ascii="Calibri" w:hAnsi="Calibri"/>
          <w:sz w:val="22"/>
          <w:szCs w:val="22"/>
        </w:rPr>
        <w:t>saogabrielprev@gmail.com</w:t>
      </w:r>
    </w:hyperlink>
    <w:r>
      <w:rPr>
        <w:rStyle w:val="Nmerodepgina"/>
        <w:rFonts w:cs="Tahoma" w:ascii="Calibri" w:hAnsi="Calibri"/>
        <w:sz w:val="22"/>
        <w:szCs w:val="22"/>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pict>
        <v:shape id="PowerPlusWaterMarkObject259915282" o:spid="shape_0" coordsize="1896,1877" path="m0,8l0,8xm6,1l0,8l7,0l6,1xm0,8l0,8xm1894,1876l0,8l1895,1875l1894,1876xe" stroked="f" o:allowincell="f" style="position:absolute;margin-left:0.05pt;margin-top:0pt;width:53.65pt;height:53.15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2"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3"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name w:val="Hyperlink"/>
    <w:basedOn w:val="DefaultParagraphFont"/>
    <w:unhideWhenUsed/>
    <w:rsid w:val="005c474f"/>
    <w:rPr>
      <w:color w:val="0563C1" w:themeColor="hyperlink"/>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mbolosdenumerao">
    <w:name w:val="Símbolos de numeração"/>
    <w:qFormat/>
    <w:rPr>
      <w:b/>
      <w:bCs/>
    </w:rPr>
  </w:style>
  <w:style w:type="character" w:styleId="Fontepargpadro1">
    <w:name w:val="Fonte parág. padrão1"/>
    <w:qFormat/>
    <w:rPr/>
  </w:style>
  <w:style w:type="character" w:styleId="Nmerodepgina">
    <w:name w:val="Page Number"/>
    <w:basedOn w:val="Fontepargpadro1"/>
    <w:rPr/>
  </w:style>
  <w:style w:type="character" w:styleId="Normaltextrun">
    <w:name w:val="normaltextrun"/>
    <w:basedOn w:val="DefaultParagraphFont"/>
    <w:qFormat/>
    <w:rPr/>
  </w:style>
  <w:style w:type="character" w:styleId="Texttruncateexpanded">
    <w:name w:val="text-truncate-expanded"/>
    <w:basedOn w:val="DefaultParagraphFont"/>
    <w:qFormat/>
    <w:rPr/>
  </w:style>
  <w:style w:type="character" w:styleId="WW8Num6z0">
    <w:name w:val="WW8Num6z0"/>
    <w:qFormat/>
    <w:rPr>
      <w:rFonts w:ascii="Symbol" w:hAnsi="Symbol" w:cs="OpenSymbol"/>
    </w:rPr>
  </w:style>
  <w:style w:type="character" w:styleId="Strong">
    <w:name w:val="Strong"/>
    <w:qFormat/>
    <w:rPr>
      <w:b/>
      <w:bCs/>
    </w:rPr>
  </w:style>
  <w:style w:type="character" w:styleId="Nivel2Char">
    <w:name w:val="Nivel 2 Char"/>
    <w:qFormat/>
    <w:rPr>
      <w:rFonts w:ascii="Arial" w:hAnsi="Arial" w:eastAsia="Times New Roman"/>
      <w:color w:val="000000"/>
      <w:sz w:val="24"/>
      <w:szCs w:val="24"/>
    </w:rPr>
  </w:style>
  <w:style w:type="character" w:styleId="Nivel1Char">
    <w:name w:val="Nivel1 Char"/>
    <w:qFormat/>
    <w:rPr>
      <w:rFonts w:ascii="Arial" w:hAnsi="Arial" w:eastAsia="0"/>
      <w:b/>
      <w:color w:val="000000"/>
      <w:sz w:val="32"/>
      <w:szCs w:val="32"/>
    </w:rPr>
  </w:style>
  <w:style w:type="character" w:styleId="CorpodetextoChar">
    <w:name w:val="Corpo de texto Char"/>
    <w:qFormat/>
    <w:rPr>
      <w:rFonts w:ascii="Times New Roman" w:hAnsi="Times New Roman" w:eastAsia="Times New Roman" w:cs="Times New Roman"/>
      <w:color w:val="000000"/>
      <w:szCs w:val="20"/>
    </w:rPr>
  </w:style>
  <w:style w:type="character" w:styleId="A6">
    <w:name w:val="A6"/>
    <w:qFormat/>
    <w:rPr>
      <w:color w:val="000000"/>
      <w:sz w:val="18"/>
      <w:u w:val="single"/>
    </w:rPr>
  </w:style>
  <w:style w:type="character" w:styleId="Pagenumber">
    <w:name w:val="page number"/>
    <w:qFormat/>
    <w:rPr>
      <w:rFonts w:ascii="Times New Roman" w:hAnsi="Times New Roman" w:eastAsia="Times New Roman" w:cs="Times New Roman"/>
      <w:color w:val="000000"/>
      <w:sz w:val="24"/>
      <w:szCs w:val="24"/>
    </w:rPr>
  </w:style>
  <w:style w:type="character" w:styleId="Linkdainternetvisitado">
    <w:name w:val="FollowedHyperlink"/>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link w:val="CabealhoChar"/>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Ttulo1"/>
    <w:qFormat/>
    <w:rsid w:val="000d02c1"/>
    <w:pPr>
      <w:snapToGrid w:val="false"/>
      <w:spacing w:lineRule="auto" w:line="360" w:before="240" w:after="240"/>
      <w:ind w:right="-30" w:hanging="0"/>
      <w:jc w:val="both"/>
    </w:pPr>
    <w:rPr>
      <w:rFonts w:ascii="Arial" w:hAnsi="Arial" w:eastAsia="Times New Roman" w:cs="Arial"/>
      <w:b/>
      <w:color w:val="000000"/>
      <w:sz w:val="24"/>
      <w:szCs w:val="24"/>
    </w:rPr>
  </w:style>
  <w:style w:type="paragraph" w:styleId="Contedodoquadro">
    <w:name w:val="Conteúdo do quadro"/>
    <w:basedOn w:val="Normal"/>
    <w:qFormat/>
    <w:pPr/>
    <w:rPr/>
  </w:style>
  <w:style w:type="paragraph" w:styleId="PargrafodaLista">
    <w:name w:val="Parágrafo da Lista"/>
    <w:basedOn w:val="Normal"/>
    <w:qFormat/>
    <w:pPr>
      <w:spacing w:lineRule="auto" w:line="276" w:before="0" w:after="200"/>
      <w:ind w:left="720" w:right="0" w:hanging="0"/>
      <w:contextualSpacing/>
    </w:pPr>
    <w:rPr>
      <w:rFonts w:ascii="Calibri" w:hAnsi="Calibri" w:eastAsia="Calibri" w:cs="Calibri"/>
      <w:sz w:val="22"/>
      <w:szCs w:val="22"/>
    </w:rPr>
  </w:style>
  <w:style w:type="paragraph" w:styleId="Default">
    <w:name w:val="Default"/>
    <w:qFormat/>
    <w:pPr>
      <w:widowControl/>
      <w:suppressAutoHyphens w:val="false"/>
      <w:bidi w:val="0"/>
      <w:spacing w:before="0" w:after="0"/>
      <w:jc w:val="left"/>
    </w:pPr>
    <w:rPr>
      <w:rFonts w:ascii="Arial" w:hAnsi="Arial" w:eastAsia="Calibri" w:cs="Arial"/>
      <w:color w:val="000000"/>
      <w:kern w:val="0"/>
      <w:sz w:val="24"/>
      <w:szCs w:val="24"/>
      <w:lang w:val="pt-BR" w:eastAsia="en-US" w:bidi="ar-SA"/>
    </w:rPr>
  </w:style>
  <w:style w:type="paragraph" w:styleId="Ttulodetabela">
    <w:name w:val="Título de tabela"/>
    <w:basedOn w:val="Contedodatabela"/>
    <w:qFormat/>
    <w:pPr>
      <w:suppressLineNumbers/>
      <w:jc w:val="center"/>
    </w:pPr>
    <w:rPr>
      <w:b/>
      <w:bCs/>
    </w:rPr>
  </w:style>
  <w:style w:type="paragraph" w:styleId="11TR">
    <w:name w:val="1.1 TR"/>
    <w:basedOn w:val="ListParagraph"/>
    <w:qFormat/>
    <w:pPr>
      <w:numPr>
        <w:ilvl w:val="1"/>
        <w:numId w:val="2"/>
      </w:numPr>
      <w:spacing w:lineRule="auto" w:line="240" w:before="0" w:after="0"/>
      <w:contextualSpacing w:val="false"/>
      <w:jc w:val="both"/>
    </w:pPr>
    <w:rPr>
      <w:rFonts w:ascii="Arial" w:hAnsi="Arial" w:cs="Arial"/>
      <w:sz w:val="24"/>
      <w:szCs w:val="24"/>
    </w:rPr>
  </w:style>
  <w:style w:type="paragraph" w:styleId="ITENSDOCONTRATO">
    <w:name w:val="ITENS DO CONTRATO"/>
    <w:basedOn w:val="11TR"/>
    <w:qFormat/>
    <w:pPr>
      <w:numPr>
        <w:ilvl w:val="0"/>
        <w:numId w:val="0"/>
      </w:numPr>
      <w:spacing w:lineRule="auto" w:line="360"/>
      <w:ind w:left="720" w:hanging="0"/>
    </w:pPr>
    <w:rPr>
      <w:rFonts w:eastAsia="Calibri"/>
      <w:bCs/>
      <w:sz w:val="22"/>
    </w:rPr>
  </w:style>
  <w:style w:type="paragraph" w:styleId="CLUSULA">
    <w:name w:val="CLÁUSULA"/>
    <w:basedOn w:val="ITENSDOCONTRATO"/>
    <w:qFormat/>
    <w:pPr/>
    <w:rPr>
      <w:b/>
    </w:rPr>
  </w:style>
  <w:style w:type="paragraph" w:styleId="Textbody">
    <w:name w:val="Text body"/>
    <w:basedOn w:val="Standard"/>
    <w:qFormat/>
    <w:pPr>
      <w:spacing w:lineRule="auto" w:line="288" w:before="0" w:after="140"/>
    </w:pPr>
    <w:rPr/>
  </w:style>
  <w:style w:type="paragraph" w:styleId="Nvel1SemNumPreto">
    <w:name w:val="Nível 1-Sem Num Preto"/>
    <w:qFormat/>
    <w:pPr>
      <w:keepNext w:val="true"/>
      <w:keepLines/>
      <w:widowControl/>
      <w:tabs>
        <w:tab w:val="clear" w:pos="708"/>
        <w:tab w:val="left" w:pos="567" w:leader="none"/>
      </w:tabs>
      <w:suppressAutoHyphens w:val="true"/>
      <w:bidi w:val="0"/>
      <w:spacing w:before="240" w:after="0"/>
      <w:jc w:val="both"/>
    </w:pPr>
    <w:rPr>
      <w:rFonts w:ascii="Ecofont_Spranq_eco_Sans" w:hAnsi="Ecofont_Spranq_eco_Sans" w:eastAsia="MS Gothic" w:cs="Times New Roman"/>
      <w:b/>
      <w:bCs/>
      <w:color w:val="auto"/>
      <w:kern w:val="0"/>
      <w:sz w:val="20"/>
      <w:szCs w:val="20"/>
      <w:lang w:val="pt-BR" w:eastAsia="zh-CN" w:bidi="hi-IN"/>
    </w:rPr>
  </w:style>
  <w:style w:type="paragraph" w:styleId="Nvel1SemNum">
    <w:name w:val="Nível 1-Sem Num"/>
    <w:qFormat/>
    <w:pPr>
      <w:keepNext w:val="true"/>
      <w:keepLines/>
      <w:widowControl/>
      <w:tabs>
        <w:tab w:val="clear" w:pos="708"/>
        <w:tab w:val="left" w:pos="567" w:leader="none"/>
      </w:tabs>
      <w:suppressAutoHyphens w:val="true"/>
      <w:bidi w:val="0"/>
      <w:spacing w:before="240" w:after="0"/>
      <w:jc w:val="both"/>
    </w:pPr>
    <w:rPr>
      <w:rFonts w:ascii="Ecofont_Spranq_eco_Sans" w:hAnsi="Ecofont_Spranq_eco_Sans" w:eastAsia="MS Gothic" w:cs="Times New Roman"/>
      <w:b/>
      <w:bCs/>
      <w:color w:val="FF0000"/>
      <w:kern w:val="0"/>
      <w:sz w:val="20"/>
      <w:szCs w:val="20"/>
      <w:lang w:val="pt-BR" w:eastAsia="en-US" w:bidi="ar-SA"/>
    </w:rPr>
  </w:style>
  <w:style w:type="paragraph" w:styleId="SemEspaamento">
    <w:name w:val="Sem Espaçamento"/>
    <w:qFormat/>
    <w:pPr>
      <w:widowControl/>
      <w:suppressAutoHyphens w:val="true"/>
      <w:bidi w:val="0"/>
      <w:spacing w:before="0" w:after="0"/>
      <w:jc w:val="left"/>
    </w:pPr>
    <w:rPr>
      <w:rFonts w:ascii="Calibri" w:hAnsi="Calibri" w:eastAsia="Times New Roman" w:cs="Calibri"/>
      <w:color w:val="auto"/>
      <w:kern w:val="0"/>
      <w:sz w:val="22"/>
      <w:szCs w:val="22"/>
      <w:lang w:val="pt-BR" w:eastAsia="zh-CN" w:bidi="ar-SA"/>
    </w:rPr>
  </w:style>
  <w:style w:type="paragraph" w:styleId="Tabelanormal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mailto:saogabrielprev@gmail.com" TargetMode="Externa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Application>LibreOffice/7.4.4.2$Windows_X86_64 LibreOffice_project/85569322deea74ec9134968a29af2df5663baa21</Application>
  <AppVersion>15.0000</AppVersion>
  <Pages>12</Pages>
  <Words>3626</Words>
  <Characters>20772</Characters>
  <CharactersWithSpaces>24132</CharactersWithSpaces>
  <Paragraphs>230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dc:description/>
  <dc:language>pt-BR</dc:language>
  <cp:lastModifiedBy/>
  <dcterms:modified xsi:type="dcterms:W3CDTF">2024-11-26T14:55:01Z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